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comments.xml" ContentType="application/vnd.openxmlformats-officedocument.wordprocessingml.comment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38AB81"/>
        <w:jc w:val="center"/>
        <w:rPr/>
      </w:pPr>
      <w:r>
        <w:rPr>
          <w:rFonts w:cs="Calibri" w:ascii="Calibri" w:hAnsi="Calibri"/>
          <w:b/>
          <w:color w:val="FFFFFF"/>
        </w:rPr>
        <w:t>ESTUDO TÉCNICO PRELIMINAR – ETP</w:t>
      </w:r>
    </w:p>
    <w:p>
      <w:pPr>
        <w:pStyle w:val="Normal"/>
        <w:jc w:val="center"/>
        <w:rPr>
          <w:rFonts w:ascii="Calibri" w:hAnsi="Calibri" w:cs="Calibri"/>
          <w:b/>
          <w:b/>
        </w:rPr>
      </w:pPr>
      <w:r>
        <w:rPr>
          <w:rFonts w:cs="Calibri" w:ascii="Calibri" w:hAnsi="Calibri"/>
          <w:b/>
        </w:rPr>
      </w:r>
    </w:p>
    <w:p>
      <w:pPr>
        <w:pStyle w:val="Normal"/>
        <w:numPr>
          <w:ilvl w:val="0"/>
          <w:numId w:val="1"/>
        </w:numPr>
        <w:shd w:val="clear" w:color="auto" w:fill="38AB81"/>
        <w:jc w:val="both"/>
        <w:rPr>
          <w:rFonts w:ascii="Calibri" w:hAnsi="Calibri"/>
        </w:rPr>
      </w:pPr>
      <w:r>
        <w:rPr>
          <w:rFonts w:cs="Calibri" w:ascii="Calibri" w:hAnsi="Calibri"/>
          <w:b/>
          <w:bCs/>
          <w:color w:val="FFFFFF"/>
        </w:rPr>
        <w:t>Dados do Processo:</w:t>
      </w:r>
    </w:p>
    <w:p>
      <w:pPr>
        <w:pStyle w:val="Normal"/>
        <w:ind w:left="754" w:hanging="0"/>
        <w:jc w:val="both"/>
        <w:rPr>
          <w:rFonts w:ascii="Calibri" w:hAnsi="Calibri" w:cs="Calibri"/>
          <w:color w:val="00000A"/>
        </w:rPr>
      </w:pPr>
      <w:r>
        <w:rPr>
          <w:rFonts w:cs="Calibri" w:ascii="Calibri" w:hAnsi="Calibri"/>
          <w:color w:val="00000A"/>
        </w:rPr>
      </w:r>
    </w:p>
    <w:tbl>
      <w:tblPr>
        <w:tblW w:w="9757" w:type="dxa"/>
        <w:jc w:val="center"/>
        <w:tblInd w:w="0" w:type="dxa"/>
        <w:tblLayout w:type="fixed"/>
        <w:tblCellMar>
          <w:top w:w="55" w:type="dxa"/>
          <w:left w:w="4" w:type="dxa"/>
          <w:bottom w:w="55" w:type="dxa"/>
          <w:right w:w="55" w:type="dxa"/>
        </w:tblCellMar>
        <w:tblLook w:firstRow="0" w:noVBand="0" w:lastRow="0" w:firstColumn="0" w:lastColumn="0" w:noHBand="0" w:val="0000"/>
      </w:tblPr>
      <w:tblGrid>
        <w:gridCol w:w="2553"/>
        <w:gridCol w:w="3911"/>
        <w:gridCol w:w="614"/>
        <w:gridCol w:w="2678"/>
      </w:tblGrid>
      <w:tr>
        <w:trPr>
          <w:trHeight w:val="327" w:hRule="atLeast"/>
        </w:trPr>
        <w:tc>
          <w:tcPr>
            <w:tcW w:w="2553" w:type="dxa"/>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Contedodatabela"/>
              <w:widowControl w:val="false"/>
              <w:jc w:val="both"/>
              <w:rPr>
                <w:rFonts w:ascii="Calibri" w:hAnsi="Calibri" w:eastAsia="SimSun;宋体" w:cs="Calibri"/>
                <w:b/>
                <w:b/>
                <w:bCs/>
                <w:color w:val="00000A"/>
              </w:rPr>
            </w:pPr>
            <w:r>
              <w:rPr>
                <w:rFonts w:eastAsia="SimSun;宋体" w:cs="Calibri" w:ascii="Calibri" w:hAnsi="Calibri"/>
                <w:b/>
                <w:bCs/>
                <w:color w:val="00000A"/>
              </w:rPr>
              <w:t>Processo Administrativo:</w:t>
            </w:r>
          </w:p>
        </w:tc>
        <w:tc>
          <w:tcPr>
            <w:tcW w:w="7203" w:type="dxa"/>
            <w:gridSpan w:val="3"/>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Standard"/>
              <w:widowControl w:val="false"/>
              <w:snapToGrid w:val="false"/>
              <w:rPr>
                <w:rFonts w:ascii="Calibri" w:hAnsi="Calibri" w:eastAsia="SimSun;宋体" w:cs="Calibri"/>
                <w:color w:val="C9211E"/>
              </w:rPr>
            </w:pPr>
            <w:commentRangeStart w:id="0"/>
            <w:r>
              <w:rPr>
                <w:rFonts w:eastAsia="SimSun;宋体" w:cs="Calibri" w:ascii="Calibri" w:hAnsi="Calibri"/>
                <w:color w:val="C9211E"/>
              </w:rPr>
              <w:t>xx/20xx</w:t>
            </w:r>
            <w:commentRangeEnd w:id="0"/>
            <w:r>
              <w:commentReference w:id="0"/>
            </w:r>
            <w:r>
              <w:rPr>
                <w:rFonts w:eastAsia="SimSun;宋体" w:cs="Calibri" w:ascii="Calibri" w:hAnsi="Calibri"/>
                <w:color w:val="C9211E"/>
              </w:rPr>
            </w:r>
          </w:p>
        </w:tc>
      </w:tr>
      <w:tr>
        <w:trPr>
          <w:trHeight w:val="327" w:hRule="atLeast"/>
        </w:trPr>
        <w:tc>
          <w:tcPr>
            <w:tcW w:w="2553" w:type="dxa"/>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Contedodatabela"/>
              <w:widowControl w:val="false"/>
              <w:jc w:val="both"/>
              <w:rPr>
                <w:rFonts w:ascii="Calibri" w:hAnsi="Calibri" w:cs="Calibri"/>
                <w:b/>
                <w:b/>
                <w:bCs/>
              </w:rPr>
            </w:pPr>
            <w:r>
              <w:rPr>
                <w:rFonts w:cs="Calibri" w:ascii="Calibri" w:hAnsi="Calibri"/>
                <w:b/>
                <w:bCs/>
              </w:rPr>
              <w:t>Objeto:</w:t>
            </w:r>
          </w:p>
        </w:tc>
        <w:tc>
          <w:tcPr>
            <w:tcW w:w="7203" w:type="dxa"/>
            <w:gridSpan w:val="3"/>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Standard"/>
              <w:widowControl w:val="false"/>
              <w:snapToGrid w:val="false"/>
              <w:jc w:val="both"/>
              <w:rPr>
                <w:rFonts w:ascii="Calibri" w:hAnsi="Calibri" w:eastAsia="SimSun;宋体" w:cs="Calibri"/>
                <w:color w:val="C9211E"/>
              </w:rPr>
            </w:pPr>
            <w:r>
              <w:rPr>
                <w:rFonts w:eastAsia="SimSun;宋体" w:cs="Calibri" w:ascii="Calibri" w:hAnsi="Calibri"/>
                <w:color w:val="C9211E"/>
              </w:rPr>
              <w:t>Aquisição de Material (de expediente, de consumo, de manutenção, de pintura)</w:t>
            </w:r>
            <w:r>
              <w:rPr/>
              <w:commentReference w:id="1"/>
            </w:r>
          </w:p>
        </w:tc>
      </w:tr>
      <w:tr>
        <w:trPr>
          <w:trHeight w:val="400" w:hRule="atLeast"/>
        </w:trPr>
        <w:tc>
          <w:tcPr>
            <w:tcW w:w="2553" w:type="dxa"/>
            <w:vMerge w:val="restart"/>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Contedodatabela"/>
              <w:widowControl w:val="false"/>
              <w:jc w:val="both"/>
              <w:rPr/>
            </w:pPr>
            <w:r>
              <w:rPr>
                <w:rFonts w:cs="Calibri" w:ascii="Calibri" w:hAnsi="Calibri"/>
                <w:b/>
                <w:bCs/>
              </w:rPr>
              <w:t>Equipe de Planejamento designada pela Portaria nº</w:t>
            </w:r>
            <w:commentRangeStart w:id="2"/>
            <w:r>
              <w:rPr>
                <w:rFonts w:cs="Calibri" w:ascii="Calibri" w:hAnsi="Calibri"/>
                <w:b/>
                <w:bCs/>
              </w:rPr>
              <w:t xml:space="preserve"> </w:t>
            </w:r>
            <w:r>
              <w:rPr>
                <w:rFonts w:eastAsia="SimSun;宋体" w:cs="Calibri" w:ascii="Calibri" w:hAnsi="Calibri"/>
                <w:b/>
                <w:bCs/>
                <w:color w:val="C9211E"/>
              </w:rPr>
              <w:t>000</w:t>
            </w:r>
            <w:r>
              <w:rPr>
                <w:rFonts w:cs="Calibri" w:ascii="Calibri" w:hAnsi="Calibri"/>
                <w:b/>
                <w:bCs/>
                <w:color w:val="C9211E"/>
              </w:rPr>
              <w:t>/20xx:</w:t>
            </w:r>
            <w:commentRangeEnd w:id="2"/>
            <w:r>
              <w:commentReference w:id="2"/>
            </w:r>
            <w:r>
              <w:rPr>
                <w:rFonts w:cs="Calibri" w:ascii="Calibri" w:hAnsi="Calibri"/>
                <w:b/>
                <w:bCs/>
                <w:color w:val="C9211E"/>
              </w:rPr>
            </w:r>
          </w:p>
        </w:tc>
        <w:tc>
          <w:tcPr>
            <w:tcW w:w="3911"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commentRangeStart w:id="3"/>
            <w:r>
              <w:rPr>
                <w:rFonts w:eastAsia="SimSun;宋体" w:cs="Calibri" w:ascii="Calibri" w:hAnsi="Calibri"/>
              </w:rPr>
              <w:t>Nome</w:t>
            </w:r>
          </w:p>
        </w:tc>
        <w:tc>
          <w:tcPr>
            <w:tcW w:w="614"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rPr>
            </w:pPr>
            <w:r>
              <w:rPr>
                <w:rFonts w:eastAsia="SimSun;宋体" w:cs="Calibri" w:ascii="Calibri" w:hAnsi="Calibri"/>
                <w:b/>
              </w:rPr>
              <w:t>Presidente da Equipe</w:t>
            </w:r>
          </w:p>
        </w:tc>
      </w:tr>
      <w:tr>
        <w:trPr>
          <w:trHeight w:val="400" w:hRule="atLeast"/>
        </w:trPr>
        <w:tc>
          <w:tcPr>
            <w:tcW w:w="2553"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pPr>
            <w:r>
              <w:rPr/>
            </w:r>
          </w:p>
        </w:tc>
        <w:tc>
          <w:tcPr>
            <w:tcW w:w="3911"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Requisitante</w:t>
            </w:r>
          </w:p>
        </w:tc>
      </w:tr>
      <w:tr>
        <w:trPr>
          <w:trHeight w:val="400" w:hRule="atLeast"/>
        </w:trPr>
        <w:tc>
          <w:tcPr>
            <w:tcW w:w="2553"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pPr>
            <w:r>
              <w:rPr/>
            </w:r>
          </w:p>
        </w:tc>
        <w:tc>
          <w:tcPr>
            <w:tcW w:w="3911"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Administrativo</w:t>
            </w:r>
          </w:p>
        </w:tc>
      </w:tr>
      <w:tr>
        <w:trPr>
          <w:trHeight w:val="400" w:hRule="atLeast"/>
        </w:trPr>
        <w:tc>
          <w:tcPr>
            <w:tcW w:w="2553"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pPr>
            <w:r>
              <w:rPr/>
            </w:r>
          </w:p>
        </w:tc>
        <w:tc>
          <w:tcPr>
            <w:tcW w:w="3911"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Administrativo</w:t>
            </w:r>
            <w:commentRangeEnd w:id="3"/>
            <w:r>
              <w:commentReference w:id="3"/>
            </w:r>
            <w:r>
              <w:rPr>
                <w:rFonts w:eastAsia="SimSun;宋体" w:cs="Calibri" w:ascii="Calibri" w:hAnsi="Calibri"/>
                <w:b/>
                <w:bCs/>
              </w:rPr>
            </w:r>
          </w:p>
        </w:tc>
      </w:tr>
    </w:tbl>
    <w:p>
      <w:pPr>
        <w:pStyle w:val="Normal"/>
        <w:ind w:left="754" w:hanging="0"/>
        <w:jc w:val="both"/>
        <w:rPr>
          <w:rFonts w:ascii="Calibri" w:hAnsi="Calibri" w:cs="Calibri"/>
          <w:color w:val="00000A"/>
        </w:rPr>
      </w:pPr>
      <w:r>
        <w:rPr>
          <w:rFonts w:cs="Calibri" w:ascii="Calibri" w:hAnsi="Calibri"/>
          <w:color w:val="00000A"/>
        </w:rPr>
      </w:r>
    </w:p>
    <w:p>
      <w:pPr>
        <w:pStyle w:val="Normal"/>
        <w:numPr>
          <w:ilvl w:val="0"/>
          <w:numId w:val="1"/>
        </w:numPr>
        <w:shd w:val="clear" w:color="auto" w:fill="38AB81"/>
        <w:jc w:val="both"/>
        <w:rPr>
          <w:rFonts w:ascii="Calibri" w:hAnsi="Calibri"/>
        </w:rPr>
      </w:pPr>
      <w:r>
        <w:rPr>
          <w:rFonts w:cs="Calibri" w:ascii="Calibri" w:hAnsi="Calibri"/>
          <w:b/>
          <w:bCs/>
          <w:color w:val="FFFFFF"/>
        </w:rPr>
        <w:t>Normativas que disciplinam a presente demanda:</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A presente aquisição tem como fundamento legal as seguintes legislações:</w:t>
      </w:r>
    </w:p>
    <w:p>
      <w:pPr>
        <w:pStyle w:val="Normal"/>
        <w:jc w:val="both"/>
        <w:rPr>
          <w:rFonts w:ascii="Calibri" w:hAnsi="Calibri"/>
        </w:rPr>
      </w:pPr>
      <w:r>
        <w:rPr>
          <w:rFonts w:ascii="Calibri" w:hAnsi="Calibri"/>
        </w:rPr>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Constituição da República Federativa do Brasil de 1988.</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Lei 14.133 de 1º de abril de 2021 – Lei de Licitações e Contratos Administrativos.</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65, de 7 de julho de 2021 – Dispõe sobre o procedimento administrativo para a realização de pesquisa de preços para aquisição de bens e contratação de serviços em geral,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67, de 8 de julho de 2021 – Dispõe sobre a dispensa de licitação, na forma eletrônica, de que trata a Lei nº 14.133, de 1º de abril de 2021, e institui o Sistema de Dispensa Eletrônica,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58, de 8 de agosto de 2022 – Dispõe sobre a elaboração dos Estudos Técnicos Preliminares – ETP, para a aquisição de bens e a contratação de serviços e obras, no âmbito da administração pública federal direta, autárquica e fundacional, e sobre o Sistema ETP digital.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8, de 23 de março de 2023 – Altera a Instrução Normativa SEGES/ME nº 67, de 8 de julho de 2021, que dispõe sobre a dispensa de licitação, na forma eletrônica, de que trata a Lei nº 14.133, de 1º de abril de 2021, e institui o Sistema de Dispensa Eletrônica,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Demais legislações correlatas à contratação que se pretende.</w:t>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Descrição da Necessidade: (IN 58/2022 SEGES, art. 9º, inciso 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highlight w:val="none"/>
          <w:shd w:fill="FFFF00" w:val="clear"/>
        </w:rPr>
      </w:pPr>
      <w:commentRangeStart w:id="4"/>
      <w:r>
        <w:rPr>
          <w:rFonts w:cs="Calibri" w:ascii="Calibri" w:hAnsi="Calibri"/>
          <w:color w:val="C9211E"/>
          <w:shd w:fill="FFFF00" w:val="clear"/>
        </w:rPr>
        <w:t>Justificativa da necessidade da aquisição pretendida, considerando o “Planejamento Estratégico”, “Relatório de Orçamento Anual do Setor”.</w:t>
      </w:r>
      <w:commentRangeEnd w:id="4"/>
      <w:r>
        <w:commentReference w:id="4"/>
      </w:r>
      <w:r>
        <w:rPr>
          <w:rFonts w:cs="Calibri" w:ascii="Calibri" w:hAnsi="Calibri"/>
          <w:color w:val="C9211E"/>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highlight w:val="none"/>
          <w:shd w:fill="FFFF00" w:val="clear"/>
        </w:rPr>
      </w:pPr>
      <w:commentRangeStart w:id="5"/>
      <w:r>
        <w:rPr>
          <w:rFonts w:cs="Calibri" w:ascii="Calibri" w:hAnsi="Calibri"/>
          <w:color w:val="C9211E"/>
          <w:shd w:fill="FFFF00" w:val="clear"/>
        </w:rPr>
        <w:t>Justificar o porquê é preciso. (Ex. A aquisição de material de expediente é para manutenção da atividade administrativa realizada pelo Cremerj.).</w:t>
      </w:r>
      <w:commentRangeEnd w:id="5"/>
      <w:r>
        <w:commentReference w:id="5"/>
      </w:r>
      <w:r>
        <w:rPr>
          <w:rFonts w:cs="Calibri" w:ascii="Calibri" w:hAnsi="Calibri"/>
          <w:color w:val="C9211E"/>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highlight w:val="none"/>
          <w:shd w:fill="FFFF00" w:val="clear"/>
        </w:rPr>
      </w:pPr>
      <w:commentRangeStart w:id="6"/>
      <w:r>
        <w:rPr>
          <w:rFonts w:cs="Calibri" w:ascii="Calibri" w:hAnsi="Calibri"/>
          <w:color w:val="C9211E"/>
          <w:shd w:fill="FFFF00" w:val="clear"/>
        </w:rPr>
        <w:t>Justificar o para quê é preciso. (Ex. O material de expediente será utilizado por todos os setores do Conselho na concepção dos processos, na busca do cumprimento da sua missão institucional.).</w:t>
      </w:r>
      <w:commentRangeEnd w:id="6"/>
      <w:r>
        <w:commentReference w:id="6"/>
      </w:r>
      <w:r>
        <w:rPr>
          <w:rFonts w:cs="Calibri" w:ascii="Calibri" w:hAnsi="Calibri"/>
          <w:color w:val="C9211E"/>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color w:val="FF4000"/>
          <w:highlight w:val="none"/>
          <w:shd w:fill="FFFF00" w:val="clear"/>
        </w:rPr>
      </w:pPr>
      <w:commentRangeStart w:id="7"/>
      <w:r>
        <w:rPr>
          <w:rFonts w:cs="Calibri" w:ascii="Calibri" w:hAnsi="Calibri"/>
          <w:color w:val="FF4000"/>
          <w:shd w:fill="FFFF00" w:val="clear"/>
        </w:rPr>
        <w:t>Justificar a consequência da não aquisição. (Ex. A não aquisição dos materiais poderá acarretar o atraso no atendimento das demandas, causando danos ao erário.).</w:t>
      </w:r>
      <w:commentRangeEnd w:id="7"/>
      <w:r>
        <w:commentReference w:id="7"/>
      </w:r>
      <w:r>
        <w:rPr>
          <w:rFonts w:cs="Calibri" w:ascii="Calibri" w:hAnsi="Calibri"/>
          <w:color w:val="FF4000"/>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rPr>
      </w:pPr>
      <w:commentRangeStart w:id="8"/>
      <w:r>
        <w:rPr>
          <w:rFonts w:cs="Calibri" w:ascii="Calibri" w:hAnsi="Calibri"/>
          <w:color w:val="00000A"/>
        </w:rPr>
        <w:t>Tendo em vista o baixo valor de aquisição e por ser objeto de baixa complexidade, este ETP será confeccionado conforme disposto no art. 9º, § 1º da IN 58/2022 SEGES;</w:t>
      </w:r>
    </w:p>
    <w:p>
      <w:pPr>
        <w:pStyle w:val="Normal"/>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color w:val="00000A"/>
          <w:kern w:val="0"/>
          <w:sz w:val="22"/>
          <w:szCs w:val="22"/>
        </w:rPr>
        <w:t>“</w:t>
      </w:r>
      <w:r>
        <w:rPr>
          <w:rFonts w:eastAsia="SimSun" w:cs="Calibri" w:ascii="Calibri" w:hAnsi="Calibri"/>
          <w:color w:val="00000A"/>
          <w:kern w:val="0"/>
          <w:sz w:val="22"/>
          <w:szCs w:val="22"/>
        </w:rPr>
        <w:t>§ 1º O ETP deverá conter ao menos os elementos previstos nos incisos I, V, VI, VII e XIII do caput deste artigo e, quando não contemplar os demais elementos, apresentar as devidas justificativas.”</w:t>
      </w:r>
      <w:commentRangeEnd w:id="8"/>
      <w:r>
        <w:commentReference w:id="8"/>
      </w:r>
      <w:r>
        <w:rPr>
          <w:rFonts w:eastAsia="SimSun" w:cs="Calibri" w:ascii="Calibri" w:hAnsi="Calibri"/>
          <w:color w:val="00000A"/>
          <w:kern w:val="0"/>
          <w:sz w:val="22"/>
          <w:szCs w:val="22"/>
        </w:rPr>
      </w:r>
    </w:p>
    <w:p>
      <w:pPr>
        <w:pStyle w:val="Normal"/>
        <w:jc w:val="both"/>
        <w:rPr>
          <w:rFonts w:ascii="Calibri" w:hAnsi="Calibri" w:eastAsia="SimSun" w:cs="Calibri"/>
          <w:color w:val="00000A"/>
          <w:kern w:val="0"/>
        </w:rPr>
      </w:pPr>
      <w:r>
        <w:rPr>
          <w:rFonts w:eastAsia="SimSun" w:cs="Calibri" w:ascii="Calibri" w:hAnsi="Calibri"/>
          <w:color w:val="00000A"/>
          <w:kern w:val="0"/>
        </w:rPr>
      </w:r>
    </w:p>
    <w:p>
      <w:pPr>
        <w:pStyle w:val="Normal"/>
        <w:widowControl w:val="false"/>
        <w:numPr>
          <w:ilvl w:val="1"/>
          <w:numId w:val="1"/>
        </w:numPr>
        <w:ind w:left="0" w:hanging="0"/>
        <w:jc w:val="both"/>
        <w:rPr>
          <w:rFonts w:ascii="Calibri" w:hAnsi="Calibri"/>
        </w:rPr>
      </w:pPr>
      <w:commentRangeStart w:id="9"/>
      <w:r>
        <w:rPr>
          <w:rFonts w:eastAsia="SimSun" w:cs="Calibri" w:ascii="Calibri" w:hAnsi="Calibri"/>
          <w:color w:val="00000A"/>
          <w:kern w:val="0"/>
        </w:rPr>
        <w:t>Cumpre salientar que de acordo com a IN 67/2021, art. 4º, §§ 1º e 2º, faz-se necessário o controle para evitar fracionamento de despesa ou contratação indevida.</w:t>
      </w:r>
    </w:p>
    <w:p>
      <w:pPr>
        <w:pStyle w:val="Normal"/>
        <w:widowControl w:val="false"/>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color w:val="00000A"/>
          <w:kern w:val="0"/>
          <w:sz w:val="22"/>
          <w:szCs w:val="22"/>
        </w:rPr>
        <w:t>“</w:t>
      </w:r>
      <w:r>
        <w:rPr>
          <w:rFonts w:eastAsia="SimSun" w:cs="Calibri" w:ascii="Calibri" w:hAnsi="Calibri"/>
          <w:color w:val="00000A"/>
          <w:kern w:val="0"/>
          <w:sz w:val="22"/>
          <w:szCs w:val="22"/>
        </w:rPr>
        <w:t>Art. 4º Os órgãos e entidades adotarão a dispensa de licitação, na forma eletrônica, nas seguintes hipóteses:</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II – </w:t>
      </w:r>
      <w:r>
        <w:rPr>
          <w:rFonts w:eastAsia="SimSun" w:cs="Calibri" w:ascii="Calibri" w:hAnsi="Calibri"/>
          <w:b/>
          <w:bCs/>
          <w:color w:val="00000A"/>
          <w:kern w:val="0"/>
          <w:sz w:val="22"/>
          <w:szCs w:val="22"/>
        </w:rPr>
        <w:t>contratação de bens e serviços, no limite do disposto no inciso II do caput do art. 75 da Lei nº 14.133, de 2021</w:t>
      </w:r>
      <w:r>
        <w:rPr>
          <w:rFonts w:eastAsia="SimSun" w:cs="Calibri" w:ascii="Calibri" w:hAnsi="Calibri"/>
          <w:color w:val="00000A"/>
          <w:kern w:val="0"/>
          <w:sz w:val="22"/>
          <w:szCs w:val="22"/>
        </w:rPr>
        <w:t>;</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 1º </w:t>
      </w:r>
      <w:r>
        <w:rPr>
          <w:rFonts w:eastAsia="SimSun" w:cs="Calibri" w:ascii="Calibri" w:hAnsi="Calibri"/>
          <w:b/>
          <w:bCs/>
          <w:color w:val="00000A"/>
          <w:kern w:val="0"/>
          <w:sz w:val="22"/>
          <w:szCs w:val="22"/>
        </w:rPr>
        <w:t>Para fins de aferição dos valores que atendam aos limites referidos</w:t>
      </w:r>
      <w:r>
        <w:rPr>
          <w:rFonts w:eastAsia="SimSun" w:cs="Calibri" w:ascii="Calibri" w:hAnsi="Calibri"/>
          <w:color w:val="00000A"/>
          <w:kern w:val="0"/>
          <w:sz w:val="22"/>
          <w:szCs w:val="22"/>
        </w:rPr>
        <w:t xml:space="preserve"> nos incisos I e II do caput,</w:t>
      </w:r>
      <w:r>
        <w:rPr>
          <w:rFonts w:eastAsia="SimSun" w:cs="Calibri" w:ascii="Calibri" w:hAnsi="Calibri"/>
          <w:b/>
          <w:bCs/>
          <w:color w:val="00000A"/>
          <w:kern w:val="0"/>
          <w:sz w:val="22"/>
          <w:szCs w:val="22"/>
        </w:rPr>
        <w:t xml:space="preserve"> deverão ser observados:</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 – </w:t>
      </w:r>
      <w:r>
        <w:rPr>
          <w:rFonts w:eastAsia="SimSun" w:cs="Calibri" w:ascii="Calibri" w:hAnsi="Calibri"/>
          <w:b/>
          <w:bCs/>
          <w:color w:val="00000A"/>
          <w:kern w:val="0"/>
          <w:sz w:val="22"/>
          <w:szCs w:val="22"/>
        </w:rPr>
        <w:t>o somatório despendido no exercício financeiro</w:t>
      </w:r>
      <w:r>
        <w:rPr>
          <w:rFonts w:eastAsia="SimSun" w:cs="Calibri" w:ascii="Calibri" w:hAnsi="Calibri"/>
          <w:color w:val="00000A"/>
          <w:kern w:val="0"/>
          <w:sz w:val="22"/>
          <w:szCs w:val="22"/>
        </w:rPr>
        <w:t xml:space="preserve"> pela respectiva unidade gestora; e</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II – </w:t>
      </w:r>
      <w:r>
        <w:rPr>
          <w:rFonts w:eastAsia="SimSun" w:cs="Calibri" w:ascii="Calibri" w:hAnsi="Calibri"/>
          <w:b/>
          <w:bCs/>
          <w:color w:val="00000A"/>
          <w:kern w:val="0"/>
          <w:sz w:val="22"/>
          <w:szCs w:val="22"/>
        </w:rPr>
        <w:t>o somatório da despesa realizada com objetos de mesma natureza, entendidos como tais aqueles relativos a contratações no mesmo ramo de atividade.</w:t>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 xml:space="preserve">§ 2º Considera-se ramo de atividade a linha de fornecimento registrada pelo fornecedor quando do seu cadastramento no Sistema de Cadastramento Unificado de Fornecedores (Sicaf), vinculada: (Redação dada pela IN Seges/MGI n.º 8 de 2023). </w:t>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I – à classe de materiais, utilizando o Padrão Descritivo de Materiais (PDM) do Sistema de Catalogação de Material do Governo federal; ou</w:t>
      </w:r>
    </w:p>
    <w:p>
      <w:pPr>
        <w:pStyle w:val="Normal"/>
        <w:widowControl w:val="false"/>
        <w:ind w:left="2268" w:hanging="0"/>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II – à descrição dos serviços ou das obras, constante do Sistema de Catalogação de Serviços ou de Obras do Governo federal." (NR) (grifo nosso)</w:t>
      </w:r>
      <w:commentRangeEnd w:id="9"/>
      <w:r>
        <w:commentReference w:id="9"/>
      </w:r>
      <w:r>
        <w:rPr>
          <w:rFonts w:eastAsia="SimSun" w:cs="Calibri" w:ascii="Calibri" w:hAnsi="Calibri"/>
          <w:b/>
          <w:bCs/>
          <w:color w:val="00000A"/>
          <w:kern w:val="0"/>
          <w:sz w:val="22"/>
          <w:szCs w:val="22"/>
        </w:rPr>
      </w:r>
    </w:p>
    <w:p>
      <w:pPr>
        <w:pStyle w:val="Normal"/>
        <w:widowControl w:val="false"/>
        <w:jc w:val="both"/>
        <w:rPr>
          <w:rFonts w:ascii="Calibri" w:hAnsi="Calibri"/>
        </w:rPr>
      </w:pPr>
      <w:r>
        <w:rPr>
          <w:rFonts w:ascii="Calibri" w:hAnsi="Calibri"/>
        </w:rPr>
      </w:r>
    </w:p>
    <w:p>
      <w:pPr>
        <w:pStyle w:val="Normal"/>
        <w:widowControl w:val="false"/>
        <w:numPr>
          <w:ilvl w:val="1"/>
          <w:numId w:val="1"/>
        </w:numPr>
        <w:ind w:left="0" w:hanging="0"/>
        <w:jc w:val="both"/>
        <w:rPr>
          <w:rFonts w:ascii="Calibri" w:hAnsi="Calibri"/>
        </w:rPr>
      </w:pPr>
      <w:r>
        <w:rPr>
          <w:rFonts w:eastAsia="SimSun" w:cs="Calibri" w:ascii="Calibri" w:hAnsi="Calibri"/>
          <w:color w:val="00000A"/>
          <w:kern w:val="0"/>
          <w:sz w:val="22"/>
          <w:szCs w:val="22"/>
        </w:rPr>
        <w:t>Consideramos Padrão Descritivo de Materiais (PDM) do Sistema de Catalogação de Material do Governo federal conforme tabela abaixo:</w:t>
      </w:r>
    </w:p>
    <w:p>
      <w:pPr>
        <w:pStyle w:val="Normal"/>
        <w:widowControl w:val="false"/>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851"/>
        <w:gridCol w:w="1272"/>
        <w:gridCol w:w="7629"/>
      </w:tblGrid>
      <w:tr>
        <w:trPr/>
        <w:tc>
          <w:tcPr>
            <w:tcW w:w="851"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commentRangeStart w:id="10"/>
            <w:r>
              <w:rPr>
                <w:rFonts w:cs="Calibri" w:ascii="Calibri" w:hAnsi="Calibri"/>
                <w:b/>
                <w:bCs/>
                <w:color w:val="FFFFFF"/>
                <w:sz w:val="20"/>
                <w:szCs w:val="20"/>
              </w:rPr>
              <w:t>ITEM</w:t>
            </w:r>
          </w:p>
        </w:tc>
        <w:tc>
          <w:tcPr>
            <w:tcW w:w="127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PDM</w:t>
            </w:r>
          </w:p>
        </w:tc>
        <w:tc>
          <w:tcPr>
            <w:tcW w:w="7629"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DESCRIÇÃO</w:t>
            </w:r>
          </w:p>
        </w:tc>
      </w:tr>
      <w:tr>
        <w:trPr/>
        <w:tc>
          <w:tcPr>
            <w:tcW w:w="851" w:type="dxa"/>
            <w:tcBorders>
              <w:left w:val="single" w:sz="2" w:space="0" w:color="000001"/>
              <w:bottom w:val="single" w:sz="2" w:space="0" w:color="000001"/>
            </w:tcBorders>
            <w:vAlign w:val="center"/>
          </w:tcPr>
          <w:p>
            <w:pPr>
              <w:pStyle w:val="Contedodatabela"/>
              <w:widowControl w:val="false"/>
              <w:jc w:val="center"/>
              <w:rPr>
                <w:rFonts w:ascii="Calibri" w:hAnsi="Calibri"/>
              </w:rPr>
            </w:pPr>
            <w:r>
              <w:rPr>
                <w:rFonts w:cs="Calibri" w:ascii="Calibri" w:hAnsi="Calibri" w:asciiTheme="minorHAnsi" w:cstheme="minorHAnsi" w:hAnsiTheme="minorHAnsi"/>
                <w:sz w:val="20"/>
                <w:szCs w:val="20"/>
              </w:rPr>
              <w:t>1</w:t>
            </w:r>
          </w:p>
        </w:tc>
        <w:tc>
          <w:tcPr>
            <w:tcW w:w="1272" w:type="dxa"/>
            <w:tcBorders>
              <w:left w:val="single" w:sz="2" w:space="0" w:color="000001"/>
              <w:bottom w:val="single" w:sz="2" w:space="0" w:color="000001"/>
            </w:tcBorders>
            <w:vAlign w:val="center"/>
          </w:tcPr>
          <w:p>
            <w:pPr>
              <w:pStyle w:val="Contedodatabela"/>
              <w:widowControl w:val="false"/>
              <w:jc w:val="center"/>
              <w:rPr>
                <w:rFonts w:ascii="Calibri" w:hAnsi="Calibri"/>
              </w:rPr>
            </w:pPr>
            <w:r>
              <w:rPr>
                <w:rFonts w:ascii="Calibri" w:hAnsi="Calibri"/>
                <w:sz w:val="20"/>
                <w:szCs w:val="20"/>
              </w:rPr>
              <w:t>1387</w:t>
            </w:r>
          </w:p>
        </w:tc>
        <w:tc>
          <w:tcPr>
            <w:tcW w:w="7629" w:type="dxa"/>
            <w:tcBorders>
              <w:left w:val="single" w:sz="2" w:space="0" w:color="000001"/>
              <w:bottom w:val="single" w:sz="2" w:space="0" w:color="000001"/>
              <w:right w:val="single" w:sz="2" w:space="0" w:color="000001"/>
            </w:tcBorders>
            <w:vAlign w:val="center"/>
          </w:tcPr>
          <w:p>
            <w:pPr>
              <w:pStyle w:val="Normal"/>
              <w:widowControl w:val="false"/>
              <w:rPr>
                <w:rFonts w:ascii="Calibri" w:hAnsi="Calibri"/>
              </w:rPr>
            </w:pPr>
            <w:r>
              <w:rPr>
                <w:rFonts w:ascii="Calibri" w:hAnsi="Calibri"/>
                <w:sz w:val="20"/>
                <w:szCs w:val="20"/>
              </w:rPr>
              <w:t>Garrafa</w:t>
            </w:r>
            <w:commentRangeEnd w:id="10"/>
            <w:r>
              <w:commentReference w:id="10"/>
            </w:r>
            <w:r>
              <w:rPr>
                <w:rFonts w:ascii="Calibri" w:hAnsi="Calibri"/>
                <w:sz w:val="20"/>
                <w:szCs w:val="20"/>
              </w:rPr>
            </w:r>
          </w:p>
        </w:tc>
      </w:tr>
    </w:tbl>
    <w:p>
      <w:pPr>
        <w:pStyle w:val="Normal"/>
        <w:widowControl w:val="false"/>
        <w:jc w:val="both"/>
        <w:rPr>
          <w:rFonts w:ascii="Calibri" w:hAnsi="Calibri" w:cs="Calibri"/>
          <w:color w:val="FF0000"/>
        </w:rPr>
      </w:pPr>
      <w:r>
        <w:rPr>
          <w:rFonts w:cs="Calibri" w:ascii="Calibri" w:hAnsi="Calibri"/>
          <w:color w:val="FF0000"/>
        </w:rPr>
      </w:r>
    </w:p>
    <w:p>
      <w:pPr>
        <w:pStyle w:val="Normal"/>
        <w:widowControl w:val="false"/>
        <w:numPr>
          <w:ilvl w:val="1"/>
          <w:numId w:val="1"/>
        </w:numPr>
        <w:ind w:left="0" w:hanging="0"/>
        <w:jc w:val="both"/>
        <w:rPr>
          <w:rFonts w:ascii="Calibri" w:hAnsi="Calibri"/>
        </w:rPr>
      </w:pPr>
      <w:r>
        <w:rPr>
          <w:rFonts w:eastAsia="SimSun" w:cs="Calibri" w:ascii="Calibri" w:hAnsi="Calibri"/>
          <w:color w:val="00000A"/>
          <w:kern w:val="0"/>
        </w:rPr>
        <w:t>De acordo com o acima exposto e conforme controle realizado pelo setor de Análise Técnica e Compras informamos que o valor disponível para aquisições referentes ao PDM informado é o abaixo exposto:</w:t>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commentReference w:id="11"/>
      </w:r>
      <w: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2352675" cy="790575"/>
            <wp:effectExtent l="0" t="0" r="0" b="0"/>
            <wp:wrapSquare wrapText="largest"/>
            <wp:docPr id="1"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3" descr=""/>
                    <pic:cNvPicPr>
                      <a:picLocks noChangeAspect="1" noChangeArrowheads="1"/>
                    </pic:cNvPicPr>
                  </pic:nvPicPr>
                  <pic:blipFill>
                    <a:blip r:embed="rId2"/>
                    <a:stretch>
                      <a:fillRect/>
                    </a:stretch>
                  </pic:blipFill>
                  <pic:spPr bwMode="auto">
                    <a:xfrm>
                      <a:off x="0" y="0"/>
                      <a:ext cx="2352675" cy="790575"/>
                    </a:xfrm>
                    <a:prstGeom prst="rect">
                      <a:avLst/>
                    </a:prstGeom>
                  </pic:spPr>
                </pic:pic>
              </a:graphicData>
            </a:graphic>
          </wp:anchor>
        </w:drawing>
      </w:r>
      <w:r>
        <w:rPr/>
        <w:commentReference w:id="12"/>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Área Requisitante:</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A necessidade da demanda é oriunda da(s) seguinte(s) área(s):</w:t>
      </w:r>
    </w:p>
    <w:p>
      <w:pPr>
        <w:pStyle w:val="Normal"/>
        <w:jc w:val="both"/>
        <w:rPr>
          <w:rFonts w:ascii="Calibri" w:hAnsi="Calibri"/>
        </w:rPr>
      </w:pPr>
      <w:r>
        <w:rPr>
          <w:rFonts w:ascii="Calibri" w:hAnsi="Calibri"/>
        </w:rPr>
      </w:r>
    </w:p>
    <w:tbl>
      <w:tblPr>
        <w:tblW w:w="7488" w:type="dxa"/>
        <w:jc w:val="center"/>
        <w:tblInd w:w="0" w:type="dxa"/>
        <w:tblLayout w:type="fixed"/>
        <w:tblCellMar>
          <w:top w:w="55" w:type="dxa"/>
          <w:left w:w="55" w:type="dxa"/>
          <w:bottom w:w="55" w:type="dxa"/>
          <w:right w:w="55" w:type="dxa"/>
        </w:tblCellMar>
        <w:tblLook w:firstRow="0" w:noVBand="0" w:lastRow="0" w:firstColumn="0" w:lastColumn="0" w:noHBand="0" w:val="0000"/>
      </w:tblPr>
      <w:tblGrid>
        <w:gridCol w:w="3401"/>
        <w:gridCol w:w="4086"/>
      </w:tblGrid>
      <w:tr>
        <w:trPr/>
        <w:tc>
          <w:tcPr>
            <w:tcW w:w="3401" w:type="dxa"/>
            <w:tcBorders>
              <w:top w:val="single" w:sz="2" w:space="0" w:color="000000"/>
              <w:left w:val="single" w:sz="2" w:space="0" w:color="000000"/>
              <w:bottom w:val="single" w:sz="2" w:space="0" w:color="000000"/>
            </w:tcBorders>
            <w:shd w:color="auto" w:fill="38AB81" w:val="clear"/>
          </w:tcPr>
          <w:p>
            <w:pPr>
              <w:pStyle w:val="Contedodatabela"/>
              <w:widowControl w:val="false"/>
              <w:jc w:val="center"/>
              <w:rPr>
                <w:sz w:val="20"/>
                <w:szCs w:val="20"/>
              </w:rPr>
            </w:pPr>
            <w:r>
              <w:rPr>
                <w:rFonts w:cs="Calibri" w:ascii="Calibri" w:hAnsi="Calibri"/>
                <w:b/>
                <w:bCs/>
                <w:color w:val="FFFFFF"/>
                <w:sz w:val="20"/>
                <w:szCs w:val="20"/>
              </w:rPr>
              <w:t>Área</w:t>
            </w:r>
          </w:p>
        </w:tc>
        <w:tc>
          <w:tcPr>
            <w:tcW w:w="4086" w:type="dxa"/>
            <w:tcBorders>
              <w:top w:val="single" w:sz="2" w:space="0" w:color="000000"/>
              <w:left w:val="single" w:sz="2" w:space="0" w:color="000000"/>
              <w:bottom w:val="single" w:sz="2" w:space="0" w:color="000000"/>
              <w:right w:val="single" w:sz="2" w:space="0" w:color="000000"/>
            </w:tcBorders>
            <w:shd w:color="auto" w:fill="38AB81" w:val="clear"/>
          </w:tcPr>
          <w:p>
            <w:pPr>
              <w:pStyle w:val="Contedodatabela"/>
              <w:widowControl w:val="false"/>
              <w:jc w:val="center"/>
              <w:rPr>
                <w:sz w:val="20"/>
                <w:szCs w:val="20"/>
              </w:rPr>
            </w:pPr>
            <w:r>
              <w:rPr>
                <w:rFonts w:cs="Calibri" w:ascii="Calibri" w:hAnsi="Calibri"/>
                <w:b/>
                <w:bCs/>
                <w:color w:val="FFFFFF"/>
                <w:sz w:val="20"/>
                <w:szCs w:val="20"/>
              </w:rPr>
              <w:t>Responsável</w:t>
            </w:r>
          </w:p>
        </w:tc>
      </w:tr>
      <w:tr>
        <w:trPr/>
        <w:tc>
          <w:tcPr>
            <w:tcW w:w="3401" w:type="dxa"/>
            <w:tcBorders>
              <w:left w:val="single" w:sz="2" w:space="0" w:color="000000"/>
              <w:bottom w:val="single" w:sz="2" w:space="0" w:color="000000"/>
            </w:tcBorders>
          </w:tcPr>
          <w:p>
            <w:pPr>
              <w:pStyle w:val="Contedodatabela"/>
              <w:widowControl w:val="false"/>
              <w:jc w:val="center"/>
              <w:rPr>
                <w:color w:val="C9211E"/>
                <w:szCs w:val="20"/>
              </w:rPr>
            </w:pPr>
            <w:commentRangeStart w:id="13"/>
            <w:r>
              <w:rPr>
                <w:rFonts w:cs="Calibri" w:ascii="Calibri" w:hAnsi="Calibri"/>
                <w:color w:val="C9211E"/>
                <w:sz w:val="20"/>
                <w:szCs w:val="20"/>
              </w:rPr>
              <w:t>Setor demandante</w:t>
            </w:r>
          </w:p>
        </w:tc>
        <w:tc>
          <w:tcPr>
            <w:tcW w:w="4086" w:type="dxa"/>
            <w:tcBorders>
              <w:left w:val="single" w:sz="2" w:space="0" w:color="000000"/>
              <w:bottom w:val="single" w:sz="2" w:space="0" w:color="000000"/>
              <w:right w:val="single" w:sz="2" w:space="0" w:color="000000"/>
            </w:tcBorders>
          </w:tcPr>
          <w:p>
            <w:pPr>
              <w:pStyle w:val="Contedodatabela"/>
              <w:widowControl w:val="false"/>
              <w:jc w:val="center"/>
              <w:rPr/>
            </w:pPr>
            <w:r>
              <w:rPr>
                <w:rStyle w:val="Strong"/>
                <w:rFonts w:cs="Calibri" w:ascii="Calibri" w:hAnsi="Calibri"/>
                <w:b w:val="false"/>
                <w:bCs w:val="false"/>
                <w:color w:val="C9211E"/>
                <w:sz w:val="20"/>
                <w:szCs w:val="20"/>
              </w:rPr>
              <w:t>Nome do demandante</w:t>
            </w:r>
            <w:commentRangeEnd w:id="13"/>
            <w:r>
              <w:commentReference w:id="13"/>
            </w:r>
            <w:r>
              <w:rPr>
                <w:rStyle w:val="Strong"/>
                <w:rFonts w:cs="Calibri" w:ascii="Calibri" w:hAnsi="Calibri"/>
                <w:b w:val="false"/>
                <w:bCs w:val="false"/>
                <w:color w:val="C9211E"/>
                <w:sz w:val="20"/>
                <w:szCs w:val="20"/>
              </w:rPr>
            </w:r>
          </w:p>
        </w:tc>
      </w:tr>
    </w:tbl>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Estimativa das Quantidades a Serem Contratadas: (IN 58/2022 SEGES, art. 9º, inciso V)</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A demanda estimada para a contratação pretendida para o CREMERJ segue abaixo:</w:t>
      </w:r>
    </w:p>
    <w:p>
      <w:pPr>
        <w:pStyle w:val="Normal"/>
        <w:jc w:val="both"/>
        <w:rPr>
          <w:rFonts w:ascii="Calibri" w:hAnsi="Calibri"/>
        </w:rPr>
      </w:pPr>
      <w:r>
        <w:rPr>
          <w:rFonts w:ascii="Calibri" w:hAnsi="Calibri"/>
        </w:rPr>
      </w:r>
    </w:p>
    <w:tbl>
      <w:tblPr>
        <w:tblW w:w="9750" w:type="dxa"/>
        <w:jc w:val="left"/>
        <w:tblInd w:w="1" w:type="dxa"/>
        <w:tblLayout w:type="fixed"/>
        <w:tblCellMar>
          <w:top w:w="55" w:type="dxa"/>
          <w:left w:w="4" w:type="dxa"/>
          <w:bottom w:w="55" w:type="dxa"/>
          <w:right w:w="55" w:type="dxa"/>
        </w:tblCellMar>
        <w:tblLook w:firstRow="0" w:noVBand="0" w:lastRow="0" w:firstColumn="0" w:lastColumn="0" w:noHBand="0" w:val="0000"/>
      </w:tblPr>
      <w:tblGrid>
        <w:gridCol w:w="663"/>
        <w:gridCol w:w="4428"/>
        <w:gridCol w:w="1695"/>
        <w:gridCol w:w="1700"/>
        <w:gridCol w:w="1264"/>
      </w:tblGrid>
      <w:tr>
        <w:trPr/>
        <w:tc>
          <w:tcPr>
            <w:tcW w:w="66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ITEM</w:t>
            </w:r>
          </w:p>
        </w:tc>
        <w:tc>
          <w:tcPr>
            <w:tcW w:w="4428"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DESCRIÇÃO/ESPECIFICAÇÃO</w:t>
            </w:r>
          </w:p>
        </w:tc>
        <w:tc>
          <w:tcPr>
            <w:tcW w:w="169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CATMAT</w:t>
            </w:r>
          </w:p>
        </w:tc>
        <w:tc>
          <w:tcPr>
            <w:tcW w:w="17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QUANTIDADE</w:t>
            </w:r>
          </w:p>
        </w:tc>
        <w:tc>
          <w:tcPr>
            <w:tcW w:w="1264"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UNIDADE</w:t>
            </w:r>
          </w:p>
        </w:tc>
      </w:tr>
      <w:tr>
        <w:trPr>
          <w:trHeight w:val="1005" w:hRule="atLeast"/>
        </w:trPr>
        <w:tc>
          <w:tcPr>
            <w:tcW w:w="663"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asciiTheme="minorHAnsi" w:cstheme="minorHAnsi" w:hAnsiTheme="minorHAnsi"/>
                <w:color w:val="C9211E"/>
                <w:sz w:val="20"/>
                <w:szCs w:val="20"/>
              </w:rPr>
              <w:t>01</w:t>
            </w:r>
          </w:p>
        </w:tc>
        <w:tc>
          <w:tcPr>
            <w:tcW w:w="4428" w:type="dxa"/>
            <w:tcBorders>
              <w:left w:val="single" w:sz="2" w:space="0" w:color="000001"/>
              <w:bottom w:val="single" w:sz="2" w:space="0" w:color="000001"/>
            </w:tcBorders>
            <w:shd w:color="auto" w:fill="FFFFFF" w:val="clear"/>
            <w:vAlign w:val="center"/>
          </w:tcPr>
          <w:p>
            <w:pPr>
              <w:pStyle w:val="Contedodatabela"/>
              <w:widowControl w:val="false"/>
              <w:jc w:val="both"/>
              <w:rPr>
                <w:color w:val="C9211E"/>
              </w:rPr>
            </w:pPr>
            <w:r>
              <w:rPr>
                <w:rFonts w:cs="Calibri" w:ascii="Calibri" w:hAnsi="Calibri"/>
                <w:color w:val="C9211E"/>
                <w:sz w:val="20"/>
                <w:szCs w:val="20"/>
              </w:rPr>
              <w:t>Descrição detalhada do item.</w:t>
            </w:r>
          </w:p>
          <w:p>
            <w:pPr>
              <w:pStyle w:val="Contedodatabela"/>
              <w:widowControl w:val="false"/>
              <w:jc w:val="both"/>
              <w:rPr>
                <w:color w:val="C9211E"/>
              </w:rPr>
            </w:pPr>
            <w:r>
              <w:rPr>
                <w:rFonts w:cs="Calibri" w:ascii="Calibri" w:hAnsi="Calibri"/>
                <w:color w:val="C9211E"/>
                <w:sz w:val="20"/>
                <w:szCs w:val="20"/>
              </w:rPr>
              <w:t>Similar à (Marca/modelo de referência) ou de melhor qualidade</w:t>
            </w:r>
          </w:p>
        </w:tc>
        <w:tc>
          <w:tcPr>
            <w:tcW w:w="1695"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0000</w:t>
            </w:r>
          </w:p>
        </w:tc>
        <w:tc>
          <w:tcPr>
            <w:tcW w:w="1700"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w:t>
            </w:r>
          </w:p>
        </w:tc>
        <w:tc>
          <w:tcPr>
            <w:tcW w:w="1264" w:type="dxa"/>
            <w:tcBorders>
              <w:left w:val="single" w:sz="2" w:space="0" w:color="000001"/>
              <w:bottom w:val="single" w:sz="2" w:space="0" w:color="000001"/>
              <w:right w:val="single" w:sz="2" w:space="0" w:color="000001"/>
            </w:tcBorders>
            <w:shd w:color="auto" w:fill="FFFFFF" w:val="clear"/>
            <w:vAlign w:val="center"/>
          </w:tcPr>
          <w:p>
            <w:pPr>
              <w:pStyle w:val="Contedodatabela"/>
              <w:widowControl w:val="false"/>
              <w:jc w:val="center"/>
              <w:rPr>
                <w:color w:val="C9211E"/>
              </w:rPr>
            </w:pPr>
            <w:r>
              <w:rPr>
                <w:color w:val="C9211E"/>
                <w:sz w:val="20"/>
                <w:szCs w:val="20"/>
              </w:rPr>
              <w:t>Unidade</w:t>
            </w:r>
            <w:r>
              <w:rPr/>
              <w:commentReference w:id="14"/>
            </w:r>
          </w:p>
          <w:p>
            <w:pPr>
              <w:pStyle w:val="Contedodatabela"/>
              <w:widowControl w:val="false"/>
              <w:jc w:val="center"/>
              <w:rPr>
                <w:color w:val="C9211E"/>
              </w:rPr>
            </w:pPr>
            <w:r>
              <w:rPr>
                <w:color w:val="C9211E"/>
                <w:sz w:val="20"/>
                <w:szCs w:val="20"/>
              </w:rPr>
              <w:t>Pacote</w:t>
            </w:r>
          </w:p>
          <w:p>
            <w:pPr>
              <w:pStyle w:val="Contedodatabela"/>
              <w:widowControl w:val="false"/>
              <w:jc w:val="center"/>
              <w:rPr>
                <w:color w:val="C9211E"/>
              </w:rPr>
            </w:pPr>
            <w:r>
              <w:rPr>
                <w:rFonts w:ascii="Calibri" w:hAnsi="Calibri"/>
                <w:color w:val="C9211E"/>
                <w:sz w:val="20"/>
                <w:szCs w:val="20"/>
              </w:rPr>
              <w:t>Litro</w:t>
            </w:r>
          </w:p>
        </w:tc>
      </w:tr>
    </w:tbl>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 xml:space="preserve">Estimativa do Valor da Contratação: </w:t>
      </w:r>
      <w:bookmarkStart w:id="0" w:name="_GoBack"/>
      <w:bookmarkEnd w:id="0"/>
      <w:r>
        <w:rPr>
          <w:rFonts w:cs="Calibri" w:ascii="Calibri" w:hAnsi="Calibri"/>
          <w:b/>
          <w:bCs/>
          <w:color w:val="FFFFFF"/>
        </w:rPr>
        <w:t>(IN 58/2022 SEGES, art. 9º, inciso VI)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Para obter a estimativa de valor para a contratação, realizou-se pesquisa de preços, em atenção ao preceituado na legislação vigente. A pesquisa de preços, anexo I deste ETP, foi realizada nos temos da IN Seges/ME nº 65/2021, onde obtivemos os seguintes valores:</w:t>
      </w:r>
    </w:p>
    <w:p>
      <w:pPr>
        <w:pStyle w:val="Normal"/>
        <w:numPr>
          <w:ilvl w:val="0"/>
          <w:numId w:val="0"/>
        </w:numPr>
        <w:ind w:left="0" w:hanging="0"/>
        <w:jc w:val="both"/>
        <w:rPr>
          <w:rFonts w:ascii="Calibri" w:hAnsi="Calibri"/>
        </w:rPr>
      </w:pPr>
      <w:r>
        <w:rPr>
          <w:rFonts w:ascii="Calibri" w:hAnsi="Calibri"/>
        </w:rPr>
      </w:r>
    </w:p>
    <w:p>
      <w:pPr>
        <w:pStyle w:val="Normal"/>
        <w:numPr>
          <w:ilvl w:val="1"/>
          <w:numId w:val="1"/>
        </w:numPr>
        <w:ind w:left="0" w:hanging="0"/>
        <w:jc w:val="both"/>
        <w:rPr>
          <w:highlight w:val="none"/>
          <w:shd w:fill="FFFF00" w:val="clear"/>
        </w:rPr>
      </w:pPr>
      <w:commentRangeStart w:id="15"/>
      <w:r>
        <w:rPr>
          <w:rFonts w:cs="Calibri" w:ascii="Calibri" w:hAnsi="Calibri"/>
          <w:color w:val="00000A"/>
          <w:shd w:fill="FFFF00" w:val="clear"/>
        </w:rPr>
        <w:t xml:space="preserve">O valor estimado global para </w:t>
      </w:r>
      <w:r>
        <w:rPr>
          <w:rFonts w:cs="Calibri" w:ascii="Calibri" w:hAnsi="Calibri"/>
          <w:color w:val="C9211E"/>
          <w:shd w:fill="FFFF00" w:val="clear"/>
        </w:rPr>
        <w:t>o(s) item(ns)/lote(s), é de R$ 0.000,00 (por_extenso)</w:t>
      </w:r>
      <w:r>
        <w:rPr>
          <w:rFonts w:cs="Calibri" w:ascii="Calibri" w:hAnsi="Calibri"/>
          <w:color w:val="00000A"/>
          <w:shd w:fill="FFFF00" w:val="clear"/>
        </w:rPr>
        <w:t>, conforme abaixo disposto.</w:t>
      </w:r>
      <w:commentRangeEnd w:id="15"/>
      <w:r>
        <w:commentReference w:id="15"/>
      </w:r>
      <w:r>
        <w:rPr>
          <w:rFonts w:cs="Calibri" w:ascii="Calibri" w:hAnsi="Calibri"/>
          <w:color w:val="00000A"/>
          <w:shd w:fill="FFFF00" w:val="clear"/>
        </w:rPr>
      </w:r>
    </w:p>
    <w:p>
      <w:pPr>
        <w:pStyle w:val="Normal"/>
        <w:jc w:val="both"/>
        <w:rPr>
          <w:rFonts w:ascii="Calibri" w:hAnsi="Calibri"/>
        </w:rPr>
      </w:pPr>
      <w:r>
        <w:rPr>
          <w:rFonts w:ascii="Calibri" w:hAnsi="Calibri"/>
        </w:rPr>
      </w:r>
    </w:p>
    <w:tbl>
      <w:tblPr>
        <w:tblW w:w="9751"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624"/>
        <w:gridCol w:w="6072"/>
        <w:gridCol w:w="1578"/>
        <w:gridCol w:w="1476"/>
      </w:tblGrid>
      <w:tr>
        <w:trPr/>
        <w:tc>
          <w:tcPr>
            <w:tcW w:w="624"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ITEM</w:t>
            </w:r>
          </w:p>
        </w:tc>
        <w:tc>
          <w:tcPr>
            <w:tcW w:w="6072"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DESCRIÇÃO/ESPECIFICAÇÃO</w:t>
            </w:r>
          </w:p>
        </w:tc>
        <w:tc>
          <w:tcPr>
            <w:tcW w:w="1578"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commentRangeStart w:id="16"/>
            <w:r>
              <w:rPr>
                <w:rFonts w:ascii="Calibri" w:hAnsi="Calibri"/>
                <w:b/>
                <w:bCs/>
                <w:color w:val="FFFFFF"/>
                <w:sz w:val="20"/>
                <w:szCs w:val="20"/>
              </w:rPr>
              <w:t>VALOR UNITÁRIO ESTIMADO</w:t>
            </w:r>
          </w:p>
        </w:tc>
        <w:tc>
          <w:tcPr>
            <w:tcW w:w="1476"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SUBTOTAL ESTIMADO</w:t>
            </w:r>
          </w:p>
        </w:tc>
      </w:tr>
      <w:tr>
        <w:trPr/>
        <w:tc>
          <w:tcPr>
            <w:tcW w:w="624" w:type="dxa"/>
            <w:tcBorders>
              <w:left w:val="single" w:sz="2" w:space="0" w:color="000000"/>
              <w:bottom w:val="single" w:sz="2" w:space="0" w:color="000000"/>
            </w:tcBorders>
            <w:vAlign w:val="center"/>
          </w:tcPr>
          <w:p>
            <w:pPr>
              <w:pStyle w:val="Contedodatabela"/>
              <w:widowControl w:val="false"/>
              <w:jc w:val="center"/>
              <w:rPr>
                <w:color w:val="C9211E"/>
              </w:rPr>
            </w:pPr>
            <w:r>
              <w:rPr>
                <w:rFonts w:cs="Calibri" w:ascii="Calibri" w:hAnsi="Calibri" w:asciiTheme="minorHAnsi" w:cstheme="minorHAnsi" w:hAnsiTheme="minorHAnsi"/>
                <w:color w:val="C9211E"/>
                <w:sz w:val="20"/>
                <w:szCs w:val="20"/>
              </w:rPr>
              <w:t>01</w:t>
            </w:r>
          </w:p>
        </w:tc>
        <w:tc>
          <w:tcPr>
            <w:tcW w:w="6072" w:type="dxa"/>
            <w:tcBorders>
              <w:left w:val="single" w:sz="2" w:space="0" w:color="000000"/>
              <w:bottom w:val="single" w:sz="2" w:space="0" w:color="000000"/>
            </w:tcBorders>
            <w:vAlign w:val="center"/>
          </w:tcPr>
          <w:p>
            <w:pPr>
              <w:pStyle w:val="Contedodatabela"/>
              <w:widowControl w:val="false"/>
              <w:jc w:val="both"/>
              <w:rPr>
                <w:color w:val="C9211E"/>
              </w:rPr>
            </w:pPr>
            <w:r>
              <w:rPr>
                <w:rFonts w:cs="Calibri" w:ascii="Calibri" w:hAnsi="Calibri"/>
                <w:color w:val="C9211E"/>
                <w:sz w:val="20"/>
                <w:szCs w:val="20"/>
              </w:rPr>
              <w:t>Descrição detalhada do item.</w:t>
            </w:r>
          </w:p>
          <w:p>
            <w:pPr>
              <w:pStyle w:val="Contedodatabela"/>
              <w:widowControl w:val="false"/>
              <w:jc w:val="both"/>
              <w:rPr>
                <w:color w:val="C9211E"/>
              </w:rPr>
            </w:pPr>
            <w:r>
              <w:rPr>
                <w:rFonts w:cs="Calibri" w:ascii="Calibri" w:hAnsi="Calibri"/>
                <w:color w:val="C9211E"/>
                <w:sz w:val="20"/>
                <w:szCs w:val="20"/>
              </w:rPr>
              <w:t>Similar à (Marca/modelo de referência) ou de melhor qualidade</w:t>
            </w:r>
          </w:p>
        </w:tc>
        <w:tc>
          <w:tcPr>
            <w:tcW w:w="1578" w:type="dxa"/>
            <w:tcBorders>
              <w:left w:val="single" w:sz="2" w:space="0" w:color="000000"/>
              <w:bottom w:val="single" w:sz="2" w:space="0" w:color="000000"/>
            </w:tcBorders>
          </w:tcPr>
          <w:p>
            <w:pPr>
              <w:pStyle w:val="Contedodatabela"/>
              <w:widowControl w:val="false"/>
              <w:jc w:val="center"/>
              <w:rPr>
                <w:color w:val="C9211E"/>
              </w:rPr>
            </w:pPr>
            <w:r>
              <w:rPr>
                <w:rFonts w:cs="Calibri" w:ascii="Calibri" w:hAnsi="Calibri"/>
                <w:color w:val="C9211E"/>
                <w:sz w:val="20"/>
                <w:szCs w:val="20"/>
              </w:rPr>
              <w:t>R$ 00,00</w:t>
            </w:r>
          </w:p>
        </w:tc>
        <w:tc>
          <w:tcPr>
            <w:tcW w:w="1476" w:type="dxa"/>
            <w:tcBorders>
              <w:left w:val="single" w:sz="2" w:space="0" w:color="000000"/>
              <w:bottom w:val="single" w:sz="2" w:space="0" w:color="000000"/>
              <w:right w:val="single" w:sz="2" w:space="0" w:color="000000"/>
            </w:tcBorders>
          </w:tcPr>
          <w:p>
            <w:pPr>
              <w:pStyle w:val="Contedodatabela"/>
              <w:widowControl w:val="false"/>
              <w:jc w:val="center"/>
              <w:rPr>
                <w:color w:val="C9211E"/>
              </w:rPr>
            </w:pPr>
            <w:r>
              <w:rPr>
                <w:rFonts w:cs="Calibri" w:ascii="Calibri" w:hAnsi="Calibri"/>
                <w:color w:val="C9211E"/>
                <w:sz w:val="20"/>
                <w:szCs w:val="20"/>
              </w:rPr>
              <w:t>R$ 0.000,00</w:t>
            </w:r>
          </w:p>
        </w:tc>
      </w:tr>
      <w:tr>
        <w:trPr/>
        <w:tc>
          <w:tcPr>
            <w:tcW w:w="624" w:type="dxa"/>
            <w:tcBorders>
              <w:left w:val="single" w:sz="2" w:space="0" w:color="000000"/>
              <w:bottom w:val="single" w:sz="2" w:space="0" w:color="000000"/>
            </w:tcBorders>
            <w:vAlign w:val="center"/>
          </w:tcPr>
          <w:p>
            <w:pPr>
              <w:pStyle w:val="Contedodatabela"/>
              <w:widowControl w:val="false"/>
              <w:jc w:val="center"/>
              <w:rPr>
                <w:color w:val="C9211E"/>
              </w:rPr>
            </w:pPr>
            <w:r>
              <w:rPr>
                <w:color w:val="C9211E"/>
                <w:sz w:val="20"/>
                <w:szCs w:val="20"/>
              </w:rPr>
              <w:t>...</w:t>
            </w:r>
          </w:p>
        </w:tc>
        <w:tc>
          <w:tcPr>
            <w:tcW w:w="6072" w:type="dxa"/>
            <w:tcBorders>
              <w:left w:val="single" w:sz="2" w:space="0" w:color="000000"/>
              <w:bottom w:val="single" w:sz="2" w:space="0" w:color="000000"/>
            </w:tcBorders>
            <w:vAlign w:val="center"/>
          </w:tcPr>
          <w:p>
            <w:pPr>
              <w:pStyle w:val="Contedodatabela"/>
              <w:widowControl w:val="false"/>
              <w:jc w:val="both"/>
              <w:rPr>
                <w:color w:val="C9211E"/>
              </w:rPr>
            </w:pPr>
            <w:r>
              <w:rPr>
                <w:rFonts w:ascii="Calibri" w:hAnsi="Calibri"/>
                <w:color w:val="C9211E"/>
                <w:sz w:val="20"/>
                <w:szCs w:val="20"/>
              </w:rPr>
              <w:t>…</w:t>
            </w:r>
            <w:r>
              <w:rPr>
                <w:rFonts w:ascii="Calibri" w:hAnsi="Calibri"/>
                <w:color w:val="C9211E"/>
                <w:sz w:val="20"/>
                <w:szCs w:val="20"/>
              </w:rPr>
              <w:t>.</w:t>
            </w:r>
          </w:p>
        </w:tc>
        <w:tc>
          <w:tcPr>
            <w:tcW w:w="1578" w:type="dxa"/>
            <w:tcBorders>
              <w:left w:val="single" w:sz="2" w:space="0" w:color="000000"/>
              <w:bottom w:val="single" w:sz="2" w:space="0" w:color="000000"/>
            </w:tcBorders>
          </w:tcPr>
          <w:p>
            <w:pPr>
              <w:pStyle w:val="Contedodatabela"/>
              <w:widowControl w:val="false"/>
              <w:jc w:val="center"/>
              <w:rPr>
                <w:color w:val="C9211E"/>
              </w:rPr>
            </w:pPr>
            <w:r>
              <w:rPr>
                <w:rFonts w:cs="Calibri" w:ascii="Calibri" w:hAnsi="Calibri"/>
                <w:color w:val="C9211E"/>
                <w:sz w:val="20"/>
                <w:szCs w:val="20"/>
              </w:rPr>
              <w:t>R$ 00,00</w:t>
            </w:r>
          </w:p>
        </w:tc>
        <w:tc>
          <w:tcPr>
            <w:tcW w:w="1476" w:type="dxa"/>
            <w:tcBorders>
              <w:left w:val="single" w:sz="2" w:space="0" w:color="000000"/>
              <w:bottom w:val="single" w:sz="2" w:space="0" w:color="000000"/>
              <w:right w:val="single" w:sz="2" w:space="0" w:color="000000"/>
            </w:tcBorders>
          </w:tcPr>
          <w:p>
            <w:pPr>
              <w:pStyle w:val="Contedodatabela"/>
              <w:widowControl w:val="false"/>
              <w:jc w:val="center"/>
              <w:rPr>
                <w:color w:val="C9211E"/>
              </w:rPr>
            </w:pPr>
            <w:r>
              <w:rPr>
                <w:rFonts w:cs="Calibri" w:ascii="Calibri" w:hAnsi="Calibri"/>
                <w:color w:val="C9211E"/>
                <w:sz w:val="20"/>
                <w:szCs w:val="20"/>
              </w:rPr>
              <w:t>R$ 0.000,00</w:t>
            </w:r>
            <w:commentRangeEnd w:id="16"/>
            <w:r>
              <w:commentReference w:id="16"/>
            </w:r>
            <w:r>
              <w:rPr>
                <w:rFonts w:cs="Calibri" w:ascii="Calibri" w:hAnsi="Calibri"/>
                <w:color w:val="C9211E"/>
                <w:sz w:val="20"/>
                <w:szCs w:val="20"/>
              </w:rPr>
            </w:r>
          </w:p>
        </w:tc>
      </w:tr>
    </w:tbl>
    <w:p>
      <w:pPr>
        <w:pStyle w:val="Normal"/>
        <w:ind w:left="794" w:hanging="0"/>
        <w:jc w:val="both"/>
        <w:rPr>
          <w:rFonts w:ascii="Calibri" w:hAnsi="Calibri"/>
        </w:rPr>
      </w:pPr>
      <w:r>
        <w:rPr>
          <w:rFonts w:ascii="Calibri" w:hAnsi="Calibri"/>
        </w:rPr>
      </w:r>
    </w:p>
    <w:p>
      <w:pPr>
        <w:pStyle w:val="Normal"/>
        <w:numPr>
          <w:ilvl w:val="2"/>
          <w:numId w:val="1"/>
        </w:numPr>
        <w:ind w:left="794" w:hanging="0"/>
        <w:jc w:val="both"/>
        <w:rPr>
          <w:rFonts w:ascii="Calibri" w:hAnsi="Calibri"/>
        </w:rPr>
      </w:pPr>
      <w:commentRangeStart w:id="17"/>
      <w:r>
        <w:rPr>
          <w:rFonts w:cs="Calibri" w:ascii="Calibri" w:hAnsi="Calibri"/>
          <w:color w:val="00000A"/>
        </w:rPr>
        <w:t>Os valores utilizados para a definição do custo estimado para o atendimento da demanda foram coletados com o auxílio da ferramenta Banco de Preços, estando estes disponíveis no relatório produzido e anexo a este ETP.</w:t>
      </w:r>
      <w:commentRangeEnd w:id="17"/>
      <w:r>
        <w:commentReference w:id="17"/>
      </w:r>
      <w:r>
        <w:rPr>
          <w:rFonts w:cs="Calibri" w:ascii="Calibri" w:hAnsi="Calibri"/>
          <w:color w:val="00000A"/>
        </w:rPr>
      </w:r>
    </w:p>
    <w:p>
      <w:pPr>
        <w:pStyle w:val="Normal"/>
        <w:numPr>
          <w:ilvl w:val="0"/>
          <w:numId w:val="0"/>
        </w:numPr>
        <w:ind w:left="794" w:hanging="0"/>
        <w:jc w:val="both"/>
        <w:rPr>
          <w:rFonts w:ascii="Calibri" w:hAnsi="Calibri"/>
        </w:rPr>
      </w:pPr>
      <w:r>
        <w:rPr>
          <w:rFonts w:ascii="Calibri" w:hAnsi="Calibri"/>
        </w:rPr>
      </w:r>
    </w:p>
    <w:p>
      <w:pPr>
        <w:pStyle w:val="Normal"/>
        <w:numPr>
          <w:ilvl w:val="2"/>
          <w:numId w:val="1"/>
        </w:numPr>
        <w:ind w:left="794" w:hanging="0"/>
        <w:jc w:val="both"/>
        <w:rPr>
          <w:highlight w:val="none"/>
          <w:shd w:fill="FFFF00" w:val="clear"/>
        </w:rPr>
      </w:pPr>
      <w:commentRangeStart w:id="18"/>
      <w:r>
        <w:rPr>
          <w:rFonts w:cs="Calibri" w:ascii="Calibri" w:hAnsi="Calibri"/>
          <w:color w:val="00000A"/>
          <w:shd w:fill="FFFF00" w:val="clear"/>
        </w:rPr>
        <w:t>Os valores utilizados para a definição do custo estimado para o atendimento da demanda foram coletados com a pesquisa direta com fornecedores encontrados com o auxílio da ferramenta Banco de Preços, estando estes disponíveis no relatório produzido e anexo a este ETP.</w:t>
      </w:r>
      <w:commentRangeEnd w:id="18"/>
      <w:r>
        <w:commentReference w:id="18"/>
      </w:r>
      <w:r>
        <w:rPr>
          <w:rFonts w:cs="Calibri" w:ascii="Calibri" w:hAnsi="Calibri"/>
          <w:color w:val="00000A"/>
          <w:shd w:fill="FFFF00" w:val="clear"/>
        </w:rPr>
      </w:r>
    </w:p>
    <w:p>
      <w:pPr>
        <w:pStyle w:val="Normal"/>
        <w:jc w:val="both"/>
        <w:rPr>
          <w:rFonts w:ascii="Calibri" w:hAnsi="Calibri" w:cs="Calibri"/>
        </w:rPr>
      </w:pPr>
      <w:r>
        <w:rPr>
          <w:rFonts w:cs="Calibri"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Justificativa para o Parcelamento ou não da Solução: (IN 58/2022 SEGES, art. 9º, inciso VII)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commentRangeStart w:id="19"/>
      <w:r>
        <w:rPr>
          <w:rFonts w:cs="Calibri" w:ascii="Calibri" w:hAnsi="Calibri"/>
        </w:rPr>
        <w:t xml:space="preserve">O objeto da contratação será composto por um </w:t>
      </w:r>
      <w:r>
        <w:rPr>
          <w:rFonts w:cs="Calibri" w:ascii="Calibri" w:hAnsi="Calibri"/>
          <w:color w:val="C9211E"/>
        </w:rPr>
        <w:t>item/lote</w:t>
      </w:r>
      <w:r>
        <w:rPr>
          <w:rFonts w:cs="Calibri" w:ascii="Calibri" w:hAnsi="Calibri"/>
        </w:rPr>
        <w:t xml:space="preserve">, de preço total orçado pelo Cremerj no valor </w:t>
      </w:r>
      <w:r>
        <w:rPr>
          <w:rFonts w:cs="Calibri" w:ascii="Calibri" w:hAnsi="Calibri"/>
          <w:color w:val="C9211E"/>
        </w:rPr>
        <w:t>R$ 0.000,00 (valor por extenso)</w:t>
      </w:r>
      <w:r>
        <w:rPr>
          <w:rFonts w:cs="Calibri" w:ascii="Calibri" w:hAnsi="Calibri"/>
        </w:rPr>
        <w:t xml:space="preserve">. Para fins de classificação, será considerado o </w:t>
      </w:r>
      <w:r>
        <w:rPr>
          <w:rFonts w:cs="Calibri" w:ascii="Calibri" w:hAnsi="Calibri"/>
          <w:color w:val="C9211E"/>
        </w:rPr>
        <w:t>menor preço/maior desconto</w:t>
      </w:r>
      <w:r>
        <w:rPr>
          <w:rFonts w:cs="Calibri" w:ascii="Calibri" w:hAnsi="Calibri"/>
        </w:rPr>
        <w:t>.</w:t>
      </w:r>
      <w:commentRangeEnd w:id="19"/>
      <w:r>
        <w:commentReference w:id="19"/>
      </w:r>
      <w:r>
        <w:rPr>
          <w:rFonts w:cs="Calibri" w:ascii="Calibri" w:hAnsi="Calibri"/>
        </w:rPr>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rPr>
        <w:t>Compete ao Cremerj buscar o menor dispêndio possível de recursos, assegurando a qualidade da aquisição e/ou da prestação do serviço. Isso exige a escolha da solução mais adequada e eficiente dentre as diversas existentes já por ocasião da definição do objeto e das condições da contratação/aquisição, posto que é esta descrição impulsiona a seleção da proposta mais vantajosa.</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rPr>
        <w:t>A partir dessas premissas, deve-se avaliar o parcelamento do objeto sem esquecer que, a rigor, objetos divisíveis, complexos ou de naturezas distintas devem ser parcelados em itens independentes com vistas à ampliação da competitividade, propiciando, assim, que os fornecedores apresentem propostas individualizadas para cada um deles, de acordo com suas condições e, igualmente, que o julgamento seja feito em relação a cada qual, o que usualmente resulta em preços mais vantajosos. O não parcelamento do objeto, seja para os fins da adoção de um objeto único ou mesmo do agrupamento de itens em lotes – que por óbvio devem guardar compatibilidade entre si, admitir julgamento com base em um mesmo critério e permitir execução por um mesmo fornecedor –, por sua vez, deve ser visto com cautela e exige justificativa adequada e consistente, já que, ao menos em tese, reduz a competitividade, na medida que impõe a cotação do global ou de todos os itens que compõem cada lote pelos particulares, e pode também não resultar na escolha da proposta efetivamente mais vantajosa, em virtude de o julgamento considerar o custo total do objeto ou de cada lote definido, conforme o caso, e não dos itens isolados.</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commentRangeStart w:id="20"/>
      <w:r>
        <w:rPr>
          <w:rFonts w:cs="Calibri" w:ascii="Calibri" w:hAnsi="Calibri"/>
        </w:rPr>
        <w:t xml:space="preserve">Neste sentido, esclarecemos que nossa análise aponta para o </w:t>
      </w:r>
      <w:r>
        <w:rPr>
          <w:rFonts w:cs="Calibri" w:ascii="Calibri" w:hAnsi="Calibri"/>
          <w:color w:val="C9211E"/>
        </w:rPr>
        <w:t>NÃO PARCELAMENTO/PARCELAMENTO</w:t>
      </w:r>
      <w:r>
        <w:rPr>
          <w:rFonts w:cs="Calibri" w:ascii="Calibri" w:hAnsi="Calibri"/>
        </w:rPr>
        <w:t xml:space="preserve"> do objeto. Uma vez que a aquisição ora proposta se trata de </w:t>
      </w:r>
      <w:r>
        <w:rPr>
          <w:rFonts w:cs="Calibri" w:ascii="Calibri" w:hAnsi="Calibri"/>
          <w:color w:val="C9211E"/>
        </w:rPr>
        <w:t>(um lote com três itens/único item/ xxx itens)</w:t>
      </w:r>
      <w:r>
        <w:rPr>
          <w:rFonts w:cs="Calibri" w:ascii="Calibri" w:hAnsi="Calibri"/>
        </w:rPr>
        <w:t>, com especificações usuais de mercado e baixo valor monetário.</w:t>
      </w:r>
      <w:commentRangeEnd w:id="20"/>
      <w:r>
        <w:commentReference w:id="20"/>
      </w:r>
      <w:r>
        <w:rPr>
          <w:rFonts w:cs="Calibri" w:ascii="Calibri" w:hAnsi="Calibri"/>
        </w:rPr>
      </w:r>
    </w:p>
    <w:p>
      <w:pPr>
        <w:pStyle w:val="Normal"/>
        <w:jc w:val="center"/>
        <w:rPr>
          <w:rFonts w:ascii="Calibri" w:hAnsi="Calibri" w:cs="Calibri"/>
        </w:rPr>
      </w:pPr>
      <w:r>
        <w:rPr>
          <w:rFonts w:cs="Calibri"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Posicionamento conclusivo da Equipe de Planejamento pela Elaboração e Conteúdo do Documento: (IN 58/2022 SEGES, art. 9º, inciso XIII)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Certificamos que somos responsáveis pela elaboração deste documento que materializa os Estudos Técnicos Preliminares da presente contratação e que o mesmo está em conformidade com a legislação vigente.</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ascii="Calibri" w:hAnsi="Calibri"/>
          <w:color w:val="00000A"/>
        </w:rPr>
        <w:t>Certificamos ainda que a contratação do objeto em tela, nos moldes estipulados, é adequada para atender a necessidade abordada neste ETP.</w:t>
      </w:r>
    </w:p>
    <w:p>
      <w:pPr>
        <w:pStyle w:val="Normal"/>
        <w:numPr>
          <w:ilvl w:val="0"/>
          <w:numId w:val="1"/>
        </w:numPr>
        <w:shd w:val="clear" w:color="auto" w:fill="38AB81"/>
        <w:jc w:val="both"/>
        <w:rPr>
          <w:rFonts w:ascii="Calibri" w:hAnsi="Calibri"/>
        </w:rPr>
      </w:pPr>
      <w:r>
        <w:rPr>
          <w:rFonts w:cs="Calibri" w:ascii="Calibri" w:hAnsi="Calibri"/>
          <w:b/>
          <w:bCs/>
          <w:color w:val="FFFFFF"/>
        </w:rPr>
        <w:t xml:space="preserve"> </w:t>
      </w:r>
      <w:r>
        <w:rPr>
          <w:rFonts w:cs="Calibri" w:ascii="Calibri" w:hAnsi="Calibri"/>
          <w:b/>
          <w:bCs/>
          <w:color w:val="FFFFFF"/>
        </w:rPr>
        <w:t>Declaração da Viabilidade:</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olor w:val="C9211E"/>
        </w:rPr>
      </w:pPr>
      <w:commentRangeStart w:id="21"/>
      <w:r>
        <w:rPr>
          <w:rFonts w:cs="Calibri" w:ascii="Calibri" w:hAnsi="Calibri"/>
          <w:color w:val="C9211E"/>
        </w:rPr>
        <w:t>A equipe de planejamento declara viável esta contratação com base neste Estudo Técnico Preliminar.</w:t>
      </w:r>
    </w:p>
    <w:p>
      <w:pPr>
        <w:pStyle w:val="Normal"/>
        <w:jc w:val="both"/>
        <w:rPr>
          <w:rFonts w:ascii="Calibri" w:hAnsi="Calibri" w:cs="Calibri"/>
          <w:color w:val="C9211E"/>
        </w:rPr>
      </w:pPr>
      <w:r>
        <w:rPr>
          <w:rFonts w:cs="Calibri" w:ascii="Calibri" w:hAnsi="Calibri"/>
          <w:color w:val="C9211E"/>
        </w:rPr>
      </w:r>
    </w:p>
    <w:p>
      <w:pPr>
        <w:pStyle w:val="Normal"/>
        <w:jc w:val="both"/>
        <w:rPr>
          <w:rFonts w:ascii="Calibri" w:hAnsi="Calibri"/>
          <w:color w:val="C9211E"/>
        </w:rPr>
      </w:pPr>
      <w:r>
        <w:rPr>
          <w:rFonts w:cs="Calibri" w:ascii="Calibri" w:hAnsi="Calibri"/>
          <w:color w:val="C9211E"/>
        </w:rPr>
        <w:t>ou</w:t>
      </w:r>
    </w:p>
    <w:p>
      <w:pPr>
        <w:pStyle w:val="Normal"/>
        <w:jc w:val="both"/>
        <w:rPr>
          <w:rFonts w:ascii="Calibri" w:hAnsi="Calibri" w:cs="Calibri"/>
          <w:color w:val="C9211E"/>
        </w:rPr>
      </w:pPr>
      <w:r>
        <w:rPr>
          <w:rFonts w:cs="Calibri" w:ascii="Calibri" w:hAnsi="Calibri"/>
          <w:color w:val="C9211E"/>
        </w:rPr>
      </w:r>
    </w:p>
    <w:p>
      <w:pPr>
        <w:pStyle w:val="Normal"/>
        <w:numPr>
          <w:ilvl w:val="1"/>
          <w:numId w:val="1"/>
        </w:numPr>
        <w:ind w:left="0" w:hanging="0"/>
        <w:jc w:val="both"/>
        <w:rPr>
          <w:rFonts w:ascii="Calibri" w:hAnsi="Calibri"/>
          <w:color w:val="C9211E"/>
        </w:rPr>
      </w:pPr>
      <w:r>
        <w:rPr>
          <w:rFonts w:cs="Calibri" w:ascii="Calibri" w:hAnsi="Calibri"/>
          <w:color w:val="C9211E"/>
        </w:rPr>
        <w:t>A equipe de planejamento declara inviável esta contratação com base neste Estudo Técnico Preliminar.</w:t>
      </w:r>
      <w:commentRangeEnd w:id="21"/>
      <w:r>
        <w:commentReference w:id="21"/>
      </w:r>
      <w:r>
        <w:rPr>
          <w:rFonts w:cs="Calibri" w:ascii="Calibri" w:hAnsi="Calibri"/>
          <w:color w:val="C9211E"/>
        </w:rPr>
      </w:r>
    </w:p>
    <w:p>
      <w:pPr>
        <w:pStyle w:val="Normal"/>
        <w:jc w:val="center"/>
        <w:rPr>
          <w:rFonts w:ascii="Calibri" w:hAnsi="Calibri" w:cs="Calibri"/>
        </w:rPr>
      </w:pPr>
      <w:r>
        <w:rPr>
          <w:rFonts w:cs="Calibri"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Do Acesso às Informações contidas no presente Estudo Preliminar:</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olor w:val="C9211E"/>
        </w:rPr>
      </w:pPr>
      <w:commentRangeStart w:id="22"/>
      <w:r>
        <w:rPr>
          <w:rFonts w:cs="Calibri" w:ascii="Calibri" w:hAnsi="Calibri"/>
          <w:color w:val="C9211E"/>
        </w:rPr>
        <w:t>Nos termos da Lei nº 12.527, de 18 de novembro de 2011, esta Equipe de Planejamento entende que as informações contidas no presente Estudo Preliminar DEVERÃO ESTAR DISPONÍVEIS para qualquer interessado, pois não se caracterizam como sigilosas.</w:t>
      </w:r>
    </w:p>
    <w:p>
      <w:pPr>
        <w:pStyle w:val="Normal"/>
        <w:ind w:left="754" w:hanging="0"/>
        <w:jc w:val="both"/>
        <w:rPr>
          <w:rFonts w:ascii="Calibri" w:hAnsi="Calibri" w:cs="Calibri"/>
          <w:color w:val="C9211E"/>
        </w:rPr>
      </w:pPr>
      <w:r>
        <w:rPr>
          <w:rFonts w:cs="Calibri" w:ascii="Calibri" w:hAnsi="Calibri"/>
          <w:color w:val="C9211E"/>
        </w:rPr>
      </w:r>
    </w:p>
    <w:p>
      <w:pPr>
        <w:pStyle w:val="Normal"/>
        <w:ind w:left="754" w:hanging="0"/>
        <w:jc w:val="both"/>
        <w:rPr>
          <w:rFonts w:ascii="Calibri" w:hAnsi="Calibri"/>
          <w:color w:val="C9211E"/>
        </w:rPr>
      </w:pPr>
      <w:r>
        <w:rPr>
          <w:rFonts w:cs="Calibri" w:ascii="Calibri" w:hAnsi="Calibri"/>
          <w:color w:val="C9211E"/>
        </w:rPr>
        <w:t>ou</w:t>
      </w:r>
    </w:p>
    <w:p>
      <w:pPr>
        <w:pStyle w:val="Normal"/>
        <w:ind w:left="754" w:hanging="0"/>
        <w:jc w:val="both"/>
        <w:rPr>
          <w:rFonts w:ascii="Calibri" w:hAnsi="Calibri" w:cs="Calibri"/>
          <w:color w:val="C9211E"/>
        </w:rPr>
      </w:pPr>
      <w:r>
        <w:rPr>
          <w:rFonts w:cs="Calibri" w:ascii="Calibri" w:hAnsi="Calibri"/>
          <w:color w:val="C9211E"/>
        </w:rPr>
      </w:r>
    </w:p>
    <w:p>
      <w:pPr>
        <w:pStyle w:val="Normal"/>
        <w:numPr>
          <w:ilvl w:val="1"/>
          <w:numId w:val="1"/>
        </w:numPr>
        <w:ind w:left="0" w:hanging="0"/>
        <w:jc w:val="both"/>
        <w:rPr>
          <w:rFonts w:ascii="Calibri" w:hAnsi="Calibri" w:cs="Calibri"/>
          <w:color w:val="C9211E"/>
        </w:rPr>
      </w:pPr>
      <w:r>
        <w:rPr>
          <w:rFonts w:cs="Calibri" w:ascii="Calibri" w:hAnsi="Calibri"/>
          <w:color w:val="C9211E"/>
        </w:rPr>
        <w:t>Nos termos da Lei nº 12.527, de 18 de novembro de 2011, esta Equipe de Planejamento entende que as informações contidas no presente Estudo Preliminar ASSUMEM CARÁTER SIGILOSO, nos termos do Art. 23 da Lei nº 12.527/2011, e, portanto, deverão ter acesso restrito.</w:t>
      </w:r>
      <w:commentRangeEnd w:id="22"/>
      <w:r>
        <w:commentReference w:id="22"/>
      </w:r>
      <w:r>
        <w:rPr>
          <w:rFonts w:cs="Calibri" w:ascii="Calibri" w:hAnsi="Calibri"/>
          <w:color w:val="C9211E"/>
        </w:rPr>
      </w:r>
    </w:p>
    <w:p>
      <w:pPr>
        <w:pStyle w:val="Normal"/>
        <w:jc w:val="center"/>
        <w:rPr>
          <w:rFonts w:ascii="Calibri" w:hAnsi="Calibri" w:cs="Calibri"/>
        </w:rPr>
      </w:pPr>
      <w:r>
        <w:rPr>
          <w:rFonts w:cs="Calibri" w:ascii="Calibri" w:hAnsi="Calibri"/>
        </w:rPr>
      </w:r>
    </w:p>
    <w:p>
      <w:pPr>
        <w:pStyle w:val="Contedodatabela"/>
        <w:widowControl w:val="false"/>
        <w:jc w:val="right"/>
        <w:rPr>
          <w:rFonts w:ascii="Calibri" w:hAnsi="Calibri" w:cs="Calibri"/>
          <w:color w:val="000000"/>
        </w:rPr>
      </w:pPr>
      <w:commentRangeStart w:id="23"/>
      <w:r>
        <w:rPr>
          <w:rFonts w:cs="Calibri" w:ascii="Calibri" w:hAnsi="Calibri"/>
          <w:color w:val="000000"/>
        </w:rPr>
        <w:t xml:space="preserve">Rio de Janeiro, </w:t>
      </w:r>
      <w:r>
        <w:rPr>
          <w:rFonts w:cs="Calibri" w:ascii="Calibri" w:hAnsi="Calibri"/>
          <w:color w:val="C9211E"/>
        </w:rPr>
        <w:t>xx</w:t>
      </w:r>
      <w:r>
        <w:rPr>
          <w:rFonts w:cs="Calibri" w:ascii="Calibri" w:hAnsi="Calibri"/>
          <w:color w:val="000000"/>
        </w:rPr>
        <w:t xml:space="preserve"> de </w:t>
      </w:r>
      <w:r>
        <w:rPr>
          <w:rFonts w:cs="Calibri" w:ascii="Calibri" w:hAnsi="Calibri"/>
          <w:color w:val="C9211E"/>
        </w:rPr>
        <w:t>xxxxxx</w:t>
      </w:r>
      <w:r>
        <w:rPr>
          <w:rFonts w:cs="Calibri" w:ascii="Calibri" w:hAnsi="Calibri"/>
          <w:color w:val="000000"/>
        </w:rPr>
        <w:t xml:space="preserve"> de </w:t>
      </w:r>
      <w:r>
        <w:rPr>
          <w:rFonts w:cs="Calibri" w:ascii="Calibri" w:hAnsi="Calibri"/>
          <w:color w:val="C9211E"/>
        </w:rPr>
        <w:t>20xx</w:t>
      </w:r>
      <w:r>
        <w:rPr>
          <w:rFonts w:cs="Calibri" w:ascii="Calibri" w:hAnsi="Calibri"/>
          <w:color w:val="000000"/>
        </w:rPr>
        <w:t>.</w:t>
      </w:r>
      <w:commentRangeEnd w:id="23"/>
      <w:r>
        <w:commentReference w:id="23"/>
      </w:r>
      <w:r>
        <w:rPr>
          <w:rFonts w:cs="Calibri" w:ascii="Calibri" w:hAnsi="Calibri"/>
          <w:color w:val="000000"/>
        </w:rPr>
      </w:r>
    </w:p>
    <w:p>
      <w:pPr>
        <w:pStyle w:val="Normal"/>
        <w:jc w:val="center"/>
        <w:rPr>
          <w:rFonts w:ascii="Calibri" w:hAnsi="Calibri" w:cs="Calibri"/>
          <w:b/>
          <w:b/>
        </w:rPr>
      </w:pPr>
      <w:r>
        <w:rPr>
          <w:rFonts w:cs="Calibri" w:ascii="Calibri" w:hAnsi="Calibri"/>
          <w:b/>
        </w:rPr>
      </w:r>
    </w:p>
    <w:tbl>
      <w:tblPr>
        <w:tblW w:w="9752"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4869"/>
        <w:gridCol w:w="4882"/>
      </w:tblGrid>
      <w:tr>
        <w:trPr>
          <w:trHeight w:val="1851" w:hRule="atLeast"/>
        </w:trPr>
        <w:tc>
          <w:tcPr>
            <w:tcW w:w="4869"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commentRangeStart w:id="24"/>
            <w:r>
              <w:rPr>
                <w:rFonts w:cs="Calibri" w:ascii="Calibri" w:hAnsi="Calibri"/>
              </w:rPr>
            </w:r>
          </w:p>
          <w:p>
            <w:pPr>
              <w:pStyle w:val="Contedodatabela"/>
              <w:widowControl w:val="false"/>
              <w:jc w:val="center"/>
              <w:rPr>
                <w:rFonts w:ascii="Calibri" w:hAnsi="Calibri" w:cs="Calibri"/>
              </w:rPr>
            </w:pPr>
            <w:r>
              <w:rPr>
                <w:rFonts w:cs="Calibri" w:ascii="Calibri" w:hAnsi="Calibri"/>
              </w:rPr>
              <w:t>_________________________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Presidente da Equipe</w:t>
            </w:r>
          </w:p>
        </w:tc>
        <w:tc>
          <w:tcPr>
            <w:tcW w:w="4882"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t>__________________________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color w:val="000000"/>
                <w:kern w:val="0"/>
                <w:lang w:eastAsia="ja-JP" w:bidi="ar-SA"/>
              </w:rPr>
              <w:t>Integrante Requisitante</w:t>
            </w:r>
          </w:p>
        </w:tc>
      </w:tr>
      <w:tr>
        <w:trPr>
          <w:trHeight w:val="1851" w:hRule="atLeast"/>
        </w:trPr>
        <w:tc>
          <w:tcPr>
            <w:tcW w:w="4869"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eastAsia="Times New Roman" w:cs="Calibri"/>
              </w:rPr>
            </w:pPr>
            <w:r>
              <w:rPr>
                <w:rFonts w:eastAsia="Times New Roman" w:cs="Calibri" w:ascii="Calibri" w:hAnsi="Calibri"/>
              </w:rPr>
            </w:r>
          </w:p>
          <w:p>
            <w:pPr>
              <w:pStyle w:val="Contedodatabela"/>
              <w:widowControl w:val="false"/>
              <w:jc w:val="center"/>
              <w:rPr>
                <w:rFonts w:ascii="Calibri" w:hAnsi="Calibri" w:cs="Calibri"/>
              </w:rPr>
            </w:pPr>
            <w:r>
              <w:rPr>
                <w:rFonts w:cs="Calibri" w:ascii="Calibri" w:hAnsi="Calibri"/>
              </w:rPr>
              <w:t>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color w:val="000000"/>
                <w:kern w:val="0"/>
                <w:lang w:eastAsia="ja-JP" w:bidi="ar-SA"/>
              </w:rPr>
              <w:t>Integrante Administrativo</w:t>
            </w:r>
          </w:p>
        </w:tc>
        <w:tc>
          <w:tcPr>
            <w:tcW w:w="4882" w:type="dxa"/>
            <w:tcBorders/>
            <w:vAlign w:val="center"/>
          </w:tcPr>
          <w:p>
            <w:pPr>
              <w:pStyle w:val="Contedodatabela"/>
              <w:widowControl w:val="false"/>
              <w:snapToGrid w:val="false"/>
              <w:jc w:val="center"/>
              <w:rPr>
                <w:rFonts w:ascii="Calibri" w:hAnsi="Calibri" w:cs="Calibri"/>
              </w:rPr>
            </w:pPr>
            <w:commentRangeEnd w:id="24"/>
            <w:r>
              <w:commentReference w:id="24"/>
            </w:r>
            <w:r>
              <w:rPr/>
            </w:r>
          </w:p>
          <w:p>
            <w:pPr>
              <w:pStyle w:val="Contedodatabela"/>
              <w:widowControl w:val="false"/>
              <w:jc w:val="center"/>
              <w:rPr>
                <w:rFonts w:ascii="Calibri" w:hAnsi="Calibri" w:eastAsia="Times New Roman" w:cs="Calibri"/>
              </w:rPr>
            </w:pPr>
            <w:r>
              <w:rPr>
                <w:rFonts w:eastAsia="Times New Roman" w:cs="Calibri" w:ascii="Calibri" w:hAnsi="Calibri"/>
              </w:rPr>
            </w:r>
          </w:p>
          <w:p>
            <w:pPr>
              <w:pStyle w:val="Contedodatabela"/>
              <w:widowControl w:val="false"/>
              <w:jc w:val="center"/>
              <w:rPr>
                <w:rFonts w:ascii="Calibri" w:hAnsi="Calibri" w:cs="Calibri"/>
              </w:rPr>
            </w:pPr>
            <w:r>
              <w:rPr>
                <w:rFonts w:cs="Calibri" w:ascii="Calibri" w:hAnsi="Calibri"/>
              </w:rPr>
              <w:t>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color w:val="000000"/>
                <w:kern w:val="0"/>
                <w:lang w:eastAsia="ja-JP" w:bidi="ar-SA"/>
              </w:rPr>
              <w:t>Integrante Administrativo</w:t>
            </w:r>
          </w:p>
        </w:tc>
      </w:tr>
    </w:tbl>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
    </w:p>
    <w:sectPr>
      <w:headerReference w:type="default" r:id="rId3"/>
      <w:footerReference w:type="default" r:id="rId4"/>
      <w:type w:val="nextPage"/>
      <w:pgSz w:w="11906" w:h="16838"/>
      <w:pgMar w:left="1077" w:right="1077" w:gutter="0" w:header="709" w:top="1900" w:footer="283" w:bottom="1587"/>
      <w:pgNumType w:fmt="decimal"/>
      <w:formProt w:val="false"/>
      <w:textDirection w:val="lrTb"/>
      <w:docGrid w:type="default" w:linePitch="312"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Autor desconhecido" w:date="2023-05-29T17:27:41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Número de processo</w:t>
      </w:r>
    </w:p>
  </w:comment>
  <w:comment w:id="1" w:author="Autor desconhecido" w:date="2022-07-28T11:20:00Z" w:initials="">
    <w:p>
      <w:r>
        <w:rPr>
          <w:rFonts w:ascii="Liberation Serif" w:hAnsi="Liberation Serif" w:eastAsia="Segoe UI" w:cs="Tahoma"/>
          <w:kern w:val="0"/>
          <w:sz w:val="20"/>
          <w:lang w:val="en-US" w:eastAsia="en-US" w:bidi="en-US"/>
        </w:rPr>
        <w:t>Informar o objeto que se pretende adquirir, nota-se que não se trata dos itens que compõe o processo, mas sim do objeto deste. Aqui pode se realizar alterações, caso o DFD seja limitado.</w:t>
      </w:r>
    </w:p>
  </w:comment>
  <w:comment w:id="2" w:author="Autor desconhecido" w:date="2022-07-28T11:21:00Z" w:initials="">
    <w:p>
      <w:r>
        <w:rPr>
          <w:rFonts w:ascii="Liberation Serif" w:hAnsi="Liberation Serif" w:eastAsia="Segoe UI" w:cs="Tahoma"/>
          <w:kern w:val="0"/>
          <w:sz w:val="20"/>
          <w:lang w:val="en-US" w:eastAsia="en-US" w:bidi="en-US"/>
        </w:rPr>
        <w:t>Número da portaria</w:t>
      </w:r>
    </w:p>
  </w:comment>
  <w:comment w:id="3" w:author="Autor desconhecido" w:date="2023-05-29T17:28:3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Inlcuir os participantes do planejamento conforme portaria</w:t>
      </w:r>
    </w:p>
  </w:comment>
  <w:comment w:id="4" w:author="Autor desconhecido" w:date="2023-05-29T13:20:1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se foi colocado no planejamento do setor</w:t>
      </w:r>
    </w:p>
  </w:comment>
  <w:comment w:id="5" w:author="Autor desconhecido" w:date="2023-05-29T13:20:3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a necessidade do objeto</w:t>
      </w:r>
    </w:p>
  </w:comment>
  <w:comment w:id="6" w:author="Autor desconhecido" w:date="2023-05-29T13:20:5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o uso do objeto</w:t>
      </w:r>
    </w:p>
  </w:comment>
  <w:comment w:id="7" w:author="Autor desconhecido" w:date="2023-05-29T13:21:0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os possíveis impactos da não aquisição</w:t>
      </w:r>
    </w:p>
  </w:comment>
  <w:comment w:id="8" w:author="Autor desconhecido" w:date="2023-05-29T17:33:1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Justificativa para utilização de ETP simplificado.</w:t>
      </w:r>
    </w:p>
  </w:comment>
  <w:comment w:id="9" w:author="Autor desconhecido" w:date="2023-05-29T17:33:4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Texto para implicação do uso do PDM/CATSER</w:t>
      </w:r>
    </w:p>
  </w:comment>
  <w:comment w:id="10" w:author="Autor desconhecido" w:date="2023-05-03T13:10:00Z" w:initials="">
    <w:p>
      <w:r>
        <w:rPr>
          <w:rFonts w:ascii="Liberation Serif" w:hAnsi="Liberation Serif" w:eastAsia="Segoe UI" w:cs="Tahoma"/>
          <w:kern w:val="0"/>
          <w:sz w:val="20"/>
          <w:lang w:val="en-US" w:eastAsia="en-US" w:bidi="en-US"/>
        </w:rPr>
        <w:t>Ajustar conforme o material que será adquirido o PDM é extraído do Catálogo: https://catalogo.compras.gov.br/cnbs-web/busca</w:t>
      </w:r>
    </w:p>
  </w:comment>
  <w:comment w:id="11" w:author="" w:date="0-00-00T00:00:00Z" w:initials="">
    <w:p>
      <w:r>
        <w:rPr>
          <w:rFonts w:ascii="Liberation Serif" w:hAnsi="Liberation Serif" w:eastAsia="Segoe UI" w:cs="Tahoma"/>
          <w:kern w:val="0"/>
          <w:lang w:val="en-US" w:eastAsia="en-US" w:bidi="en-US"/>
        </w:rPr>
      </w:r>
    </w:p>
  </w:comment>
  <w:comment w:id="12" w:author="Autor desconhecido" w:date="2023-05-29T17:34: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Extrair da planilha de controle</w:t>
      </w:r>
    </w:p>
  </w:comment>
  <w:comment w:id="13" w:author="Autor desconhecido" w:date="2022-07-28T11:46:00Z" w:initials="">
    <w:p>
      <w:r>
        <w:rPr>
          <w:rFonts w:ascii="Liberation Serif" w:hAnsi="Liberation Serif" w:eastAsia="Segoe UI" w:cs="Tahoma"/>
          <w:kern w:val="0"/>
          <w:sz w:val="20"/>
          <w:lang w:val="en-US" w:eastAsia="en-US" w:bidi="en-US"/>
        </w:rPr>
        <w:t>Incluir o setor demandante e seu responsável</w:t>
      </w:r>
    </w:p>
  </w:comment>
  <w:comment w:id="14" w:author="Autor desconhecido" w:date="2022-07-28T11:50:00Z" w:initials="">
    <w:p>
      <w:r>
        <w:rPr>
          <w:rFonts w:ascii="Liberation Serif" w:hAnsi="Liberation Serif" w:eastAsia="Segoe UI" w:cs="Tahoma"/>
          <w:kern w:val="0"/>
          <w:sz w:val="20"/>
          <w:lang w:val="en-US" w:eastAsia="en-US" w:bidi="en-US"/>
        </w:rPr>
        <w:t>Descrever detalhadamente o item que se pretende adquirir, quantidade e forma de apresentação</w:t>
      </w:r>
    </w:p>
  </w:comment>
  <w:comment w:id="15" w:author="Autor desconhecido" w:date="2023-05-29T17:37:5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conforme a necessidade</w:t>
      </w:r>
    </w:p>
  </w:comment>
  <w:comment w:id="16" w:author="Autor desconhecido" w:date="2022-07-28T11:58:00Z" w:initials="">
    <w:p>
      <w:r>
        <w:rPr>
          <w:rFonts w:ascii="Liberation Serif" w:hAnsi="Liberation Serif" w:eastAsia="Segoe UI" w:cs="Tahoma"/>
          <w:kern w:val="0"/>
          <w:sz w:val="20"/>
          <w:lang w:val="en-US" w:eastAsia="en-US" w:bidi="en-US"/>
        </w:rPr>
        <w:t>Valores oriundos da pesquisa de preços realizada</w:t>
      </w:r>
    </w:p>
  </w:comment>
  <w:comment w:id="17" w:author="Autor desconhecido" w:date="2023-05-29T13:46: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Frase padrão para o uso do banco de preços</w:t>
      </w:r>
    </w:p>
  </w:comment>
  <w:comment w:id="18" w:author="Autor desconhecido" w:date="2023-05-29T13:53: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Utilizado quando fizer uso de pesquisa com fornecedor</w:t>
      </w:r>
    </w:p>
  </w:comment>
  <w:comment w:id="19" w:author="Autor desconhecido" w:date="2023-05-29T14:1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conforme necessidade, item ou lote, valor e forma de julgamento.</w:t>
      </w:r>
    </w:p>
  </w:comment>
  <w:comment w:id="20" w:author="Autor desconhecido" w:date="2023-05-29T14:18:0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se haverá ou não parcelamento, a forma de apresentação do objeto (item, lote)</w:t>
      </w:r>
    </w:p>
  </w:comment>
  <w:comment w:id="21" w:author="Autor desconhecido" w:date="2023-05-29T14:19:1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Caso não seja viável justificar e informar a motivação para o fim do processo.</w:t>
      </w:r>
    </w:p>
  </w:comment>
  <w:comment w:id="22" w:author="Autor desconhecido" w:date="2023-05-29T14:27:1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Utilizar conforme a necessidade</w:t>
      </w:r>
    </w:p>
  </w:comment>
  <w:comment w:id="23" w:author="Autor desconhecido" w:date="2022-07-28T12:18:00Z" w:initials="">
    <w:p>
      <w:r>
        <w:rPr>
          <w:rFonts w:ascii="Liberation Serif" w:hAnsi="Liberation Serif" w:eastAsia="Segoe UI" w:cs="Tahoma"/>
          <w:kern w:val="0"/>
          <w:sz w:val="20"/>
          <w:lang w:val="en-US" w:eastAsia="en-US" w:bidi="en-US"/>
        </w:rPr>
        <w:t>Incluir data</w:t>
      </w:r>
    </w:p>
  </w:comment>
  <w:comment w:id="24" w:author="Autor desconhecido" w:date="2022-07-28T12:18:00Z" w:initials="">
    <w:p>
      <w:r>
        <w:rPr>
          <w:rFonts w:ascii="Liberation Serif" w:hAnsi="Liberation Serif" w:eastAsia="Segoe UI" w:cs="Tahoma"/>
          <w:kern w:val="0"/>
          <w:sz w:val="20"/>
          <w:lang w:val="en-US" w:eastAsia="en-US" w:bidi="en-US"/>
        </w:rPr>
        <w:t>Nome dos participantes</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Mono">
    <w:altName w:val="Courier New"/>
    <w:charset w:val="00"/>
    <w:family w:val="roman"/>
    <w:pitch w:val="variable"/>
  </w:font>
  <w:font w:name="OpenSymbol">
    <w:altName w:val="Arial Unicode MS"/>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Hyperlink1"/>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pPr>
    <w:r>
      <w:rPr/>
      <w:drawing>
        <wp:anchor behindDoc="1" distT="0" distB="0" distL="0" distR="0" simplePos="0" locked="0" layoutInCell="0" allowOverlap="1" relativeHeight="6">
          <wp:simplePos x="0" y="0"/>
          <wp:positionH relativeFrom="column">
            <wp:align>center</wp:align>
          </wp:positionH>
          <wp:positionV relativeFrom="paragraph">
            <wp:posOffset>48260</wp:posOffset>
          </wp:positionV>
          <wp:extent cx="6478905" cy="502920"/>
          <wp:effectExtent l="0" t="0" r="0" b="0"/>
          <wp:wrapSquare wrapText="largest"/>
          <wp:docPr id="3"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descr=""/>
                  <pic:cNvPicPr>
                    <a:picLocks noChangeAspect="1" noChangeArrowheads="1"/>
                  </pic:cNvPicPr>
                </pic:nvPicPr>
                <pic:blipFill>
                  <a:blip r:embed="rId1"/>
                  <a:srcRect l="-7" t="-92" r="-7" b="-92"/>
                  <a:stretch>
                    <a:fillRect/>
                  </a:stretch>
                </pic:blipFill>
                <pic:spPr bwMode="auto">
                  <a:xfrm>
                    <a:off x="0" y="0"/>
                    <a:ext cx="6478905" cy="50292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11">
          <wp:simplePos x="0" y="0"/>
          <wp:positionH relativeFrom="column">
            <wp:posOffset>-143510</wp:posOffset>
          </wp:positionH>
          <wp:positionV relativeFrom="paragraph">
            <wp:posOffset>-78105</wp:posOffset>
          </wp:positionV>
          <wp:extent cx="6478905" cy="808990"/>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1"/>
                  <a:srcRect l="-7" t="-51" r="-7" b="-51"/>
                  <a:stretch>
                    <a:fillRect/>
                  </a:stretch>
                </pic:blipFill>
                <pic:spPr bwMode="auto">
                  <a:xfrm>
                    <a:off x="0" y="0"/>
                    <a:ext cx="6478905" cy="8089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4"/>
        </w:tabs>
        <w:ind w:left="754" w:hanging="754"/>
      </w:pPr>
      <w:rPr>
        <w:sz w:val="24"/>
        <w:b/>
        <w:szCs w:val="24"/>
        <w:bCs/>
        <w:rFonts w:cs="Calibri"/>
        <w:color w:val="FFFFFF"/>
      </w:rPr>
    </w:lvl>
    <w:lvl w:ilvl="1">
      <w:start w:val="1"/>
      <w:numFmt w:val="decimal"/>
      <w:lvlText w:val="%1.%2."/>
      <w:lvlJc w:val="left"/>
      <w:pPr>
        <w:tabs>
          <w:tab w:val="num" w:pos="794"/>
        </w:tabs>
        <w:ind w:left="794" w:hanging="794"/>
      </w:pPr>
      <w:rPr>
        <w:dstrike w:val="false"/>
        <w:strike w:val="false"/>
        <w:sz w:val="24"/>
        <w:b w:val="false"/>
        <w:szCs w:val="24"/>
        <w:bCs w:val="false"/>
        <w:rFonts w:eastAsia="Calibri" w:cs="Calibri"/>
        <w:color w:val="00000A"/>
        <w:lang w:eastAsia="en-US"/>
      </w:rPr>
    </w:lvl>
    <w:lvl w:ilvl="2">
      <w:start w:val="1"/>
      <w:numFmt w:val="decimal"/>
      <w:lvlText w:val="%1.%2.%3."/>
      <w:lvlJc w:val="left"/>
      <w:pPr>
        <w:tabs>
          <w:tab w:val="num" w:pos="1587"/>
        </w:tabs>
        <w:ind w:left="1587" w:hanging="793"/>
      </w:pPr>
      <w:rPr>
        <w:sz w:val="24"/>
        <w:b w:val="false"/>
        <w:szCs w:val="24"/>
        <w:bCs w:val="false"/>
        <w:rFonts w:eastAsia="Calibri" w:cs="Calibri"/>
        <w:color w:val="000000"/>
        <w:lang w:eastAsia="en-US"/>
      </w:rPr>
    </w:lvl>
    <w:lvl w:ilvl="3">
      <w:start w:val="1"/>
      <w:numFmt w:val="decimal"/>
      <w:lvlText w:val="%1.%2.%3.%4."/>
      <w:lvlJc w:val="left"/>
      <w:pPr>
        <w:tabs>
          <w:tab w:val="num" w:pos="1587"/>
        </w:tabs>
        <w:ind w:left="2381" w:hanging="794"/>
      </w:pPr>
      <w:rPr/>
    </w:lvl>
    <w:lvl w:ilvl="4">
      <w:start w:val="1"/>
      <w:numFmt w:val="decimal"/>
      <w:lvlText w:val="%1.%2.%3.%4.%5."/>
      <w:lvlJc w:val="left"/>
      <w:pPr>
        <w:tabs>
          <w:tab w:val="num" w:pos="1985"/>
        </w:tabs>
        <w:ind w:left="2342" w:hanging="755"/>
      </w:pPr>
      <w:rPr/>
    </w:lvl>
    <w:lvl w:ilvl="5">
      <w:start w:val="1"/>
      <w:numFmt w:val="decimal"/>
      <w:lvlText w:val="%6."/>
      <w:lvlJc w:val="left"/>
      <w:pPr>
        <w:tabs>
          <w:tab w:val="num" w:pos="2381"/>
        </w:tabs>
        <w:ind w:left="2738" w:hanging="397"/>
      </w:pPr>
      <w:rPr/>
    </w:lvl>
    <w:lvl w:ilvl="6">
      <w:start w:val="1"/>
      <w:numFmt w:val="decimal"/>
      <w:lvlText w:val="%7."/>
      <w:lvlJc w:val="left"/>
      <w:pPr>
        <w:tabs>
          <w:tab w:val="num" w:pos="2778"/>
        </w:tabs>
        <w:ind w:left="3135" w:hanging="397"/>
      </w:pPr>
      <w:rPr/>
    </w:lvl>
    <w:lvl w:ilvl="7">
      <w:start w:val="1"/>
      <w:numFmt w:val="decimal"/>
      <w:lvlText w:val="%8."/>
      <w:lvlJc w:val="left"/>
      <w:pPr>
        <w:tabs>
          <w:tab w:val="num" w:pos="3175"/>
        </w:tabs>
        <w:ind w:left="3532" w:hanging="397"/>
      </w:pPr>
      <w:rPr/>
    </w:lvl>
    <w:lvl w:ilvl="8">
      <w:start w:val="1"/>
      <w:numFmt w:val="decimal"/>
      <w:lvlText w:val="%9."/>
      <w:lvlJc w:val="left"/>
      <w:pPr>
        <w:tabs>
          <w:tab w:val="num" w:pos="3572"/>
        </w:tabs>
        <w:ind w:left="3929" w:hanging="397"/>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425"/>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pt-BR"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Liberation Serif;Times New Roma" w:hAnsi="Liberation Serif;Times New Roma" w:eastAsia="NSimSun" w:cs="Lucida Sans"/>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ontepargpadro1" w:customStyle="1">
    <w:name w:val="Fonte parág. padrão1"/>
    <w:qFormat/>
    <w:rPr/>
  </w:style>
  <w:style w:type="character" w:styleId="Hyperlink1" w:customStyle="1">
    <w:name w:val="Hyperlink1"/>
    <w:basedOn w:val="Fontepargpadro1"/>
    <w:qFormat/>
    <w:rPr>
      <w:color w:val="0000FF"/>
      <w:u w:val="single"/>
    </w:rPr>
  </w:style>
  <w:style w:type="character" w:styleId="Smbolosdenumerao" w:customStyle="1">
    <w:name w:val="Símbolos de numeração"/>
    <w:qFormat/>
    <w:rPr/>
  </w:style>
  <w:style w:type="character" w:styleId="Entradadousurio" w:customStyle="1">
    <w:name w:val="Entrada do usuário"/>
    <w:qFormat/>
    <w:rPr>
      <w:rFonts w:ascii="Liberation Mono;Courier New" w:hAnsi="Liberation Mono;Courier New" w:eastAsia="NSimSun" w:cs="Liberation Mono;Courier New"/>
      <w:color w:val="00000A"/>
    </w:rPr>
  </w:style>
  <w:style w:type="character" w:styleId="HiperlinkVisitado1" w:customStyle="1">
    <w:name w:val="HiperlinkVisitado1"/>
    <w:qFormat/>
    <w:rPr>
      <w:color w:val="800000"/>
      <w:u w:val="single"/>
    </w:rPr>
  </w:style>
  <w:style w:type="character" w:styleId="Marcas" w:customStyle="1">
    <w:name w:val="Marcas"/>
    <w:qFormat/>
    <w:rPr>
      <w:rFonts w:ascii="OpenSymbol;Arial Unicode MS" w:hAnsi="OpenSymbol;Arial Unicode MS" w:eastAsia="OpenSymbol;Arial Unicode MS" w:cs="OpenSymbol;Arial Unicode MS"/>
    </w:rPr>
  </w:style>
  <w:style w:type="character" w:styleId="Calibri12" w:customStyle="1">
    <w:name w:val="Calibri_12"/>
    <w:basedOn w:val="DefaultParagraphFont"/>
    <w:qFormat/>
    <w:rPr>
      <w:rFonts w:ascii="Calibri" w:hAnsi="Calibri"/>
      <w:sz w:val="24"/>
    </w:rPr>
  </w:style>
  <w:style w:type="character" w:styleId="Calibri12b" w:customStyle="1">
    <w:name w:val="Calibri_12b"/>
    <w:basedOn w:val="DefaultParagraphFont"/>
    <w:qFormat/>
    <w:rPr>
      <w:rFonts w:ascii="Calibri" w:hAnsi="Calibri"/>
      <w:b/>
      <w:color w:val="FFFFFF" w:themeColor="background1"/>
      <w:sz w:val="24"/>
    </w:rPr>
  </w:style>
  <w:style w:type="character" w:styleId="Strong">
    <w:name w:val="Strong"/>
    <w:qFormat/>
    <w:rPr>
      <w:b/>
      <w:bCs/>
    </w:rPr>
  </w:style>
  <w:style w:type="character" w:styleId="Marcadores" w:customStyle="1">
    <w:name w:val="Marcadores"/>
    <w:qFormat/>
    <w:rPr>
      <w:rFonts w:ascii="OpenSymbol" w:hAnsi="OpenSymbol" w:eastAsia="OpenSymbol" w:cs="OpenSymbol"/>
    </w:rPr>
  </w:style>
  <w:style w:type="character" w:styleId="TextodecomentrioChar" w:customStyle="1">
    <w:name w:val="Texto de comentário Char"/>
    <w:basedOn w:val="DefaultParagraphFont"/>
    <w:link w:val="Annotationtext"/>
    <w:uiPriority w:val="99"/>
    <w:semiHidden/>
    <w:qFormat/>
    <w:rPr>
      <w:rFonts w:ascii="Liberation Serif;Times New Roma" w:hAnsi="Liberation Serif;Times New Roma" w:cs="Mangal"/>
      <w:kern w:val="2"/>
      <w:szCs w:val="18"/>
    </w:rPr>
  </w:style>
  <w:style w:type="character" w:styleId="Annotationreference">
    <w:name w:val="annotation reference"/>
    <w:basedOn w:val="DefaultParagraphFont"/>
    <w:uiPriority w:val="99"/>
    <w:semiHidden/>
    <w:unhideWhenUsed/>
    <w:qFormat/>
    <w:rPr>
      <w:sz w:val="16"/>
      <w:szCs w:val="16"/>
    </w:rPr>
  </w:style>
  <w:style w:type="character" w:styleId="TextodebaloChar" w:customStyle="1">
    <w:name w:val="Texto de balão Char"/>
    <w:basedOn w:val="DefaultParagraphFont"/>
    <w:link w:val="BalloonText"/>
    <w:uiPriority w:val="99"/>
    <w:semiHidden/>
    <w:qFormat/>
    <w:rsid w:val="0023177e"/>
    <w:rPr>
      <w:rFonts w:ascii="Tahoma" w:hAnsi="Tahoma" w:cs="Mangal"/>
      <w:kern w:val="2"/>
      <w:sz w:val="16"/>
      <w:szCs w:val="14"/>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style>
  <w:style w:type="paragraph" w:styleId="Ttulododocumento">
    <w:name w:val="Title"/>
    <w:basedOn w:val="Normal"/>
    <w:next w:val="Corpodotexto"/>
    <w:uiPriority w:val="10"/>
    <w:qFormat/>
    <w:pPr>
      <w:keepNext w:val="true"/>
      <w:spacing w:before="240" w:after="120"/>
    </w:pPr>
    <w:rPr>
      <w:rFonts w:ascii="Liberation Sans;Arial" w:hAnsi="Liberation Sans;Arial" w:eastAsia="Microsoft YaHei"/>
      <w:sz w:val="28"/>
      <w:szCs w:val="28"/>
    </w:rPr>
  </w:style>
  <w:style w:type="paragraph" w:styleId="Caption">
    <w:name w:val="caption"/>
    <w:basedOn w:val="Normal"/>
    <w:qFormat/>
    <w:pPr>
      <w:suppressLineNumbers/>
      <w:spacing w:before="120" w:after="120"/>
    </w:pPr>
    <w:rPr>
      <w:i/>
      <w:iCs/>
    </w:rPr>
  </w:style>
  <w:style w:type="paragraph" w:styleId="CabealhoeRodap" w:customStyle="1">
    <w:name w:val="Cabeçalho e Rodapé"/>
    <w:basedOn w:val="Normal"/>
    <w:qFormat/>
    <w:pPr>
      <w:suppressLineNumbers/>
      <w:tabs>
        <w:tab w:val="clear" w:pos="720"/>
        <w:tab w:val="center" w:pos="4819" w:leader="none"/>
        <w:tab w:val="right" w:pos="9638" w:leader="none"/>
      </w:tabs>
    </w:pPr>
    <w:rPr/>
  </w:style>
  <w:style w:type="paragraph" w:styleId="Cabealho">
    <w:name w:val="Header"/>
    <w:basedOn w:val="CabealhoeRodap"/>
    <w:pPr/>
    <w:rPr/>
  </w:style>
  <w:style w:type="paragraph" w:styleId="Rodap">
    <w:name w:val="Footer"/>
    <w:basedOn w:val="CabealhoeRodap"/>
    <w:pPr/>
    <w:rPr/>
  </w:style>
  <w:style w:type="paragraph" w:styleId="Contedodalista" w:customStyle="1">
    <w:name w:val="Conteúdo da lista"/>
    <w:basedOn w:val="Normal"/>
    <w:qFormat/>
    <w:pPr>
      <w:ind w:left="567" w:hanging="0"/>
    </w:pPr>
    <w:rPr/>
  </w:style>
  <w:style w:type="paragraph" w:styleId="Rodap1" w:customStyle="1">
    <w:name w:val="Rodapé1"/>
    <w:basedOn w:val="Normal"/>
    <w:qFormat/>
    <w:pPr>
      <w:tabs>
        <w:tab w:val="clear" w:pos="720"/>
        <w:tab w:val="center" w:pos="4419" w:leader="none"/>
        <w:tab w:val="right" w:pos="8838" w:leader="none"/>
      </w:tabs>
    </w:pPr>
    <w:rPr>
      <w:rFonts w:ascii="Times New Roman" w:hAnsi="Times New Roman" w:eastAsia="Times New Roman" w:cs="Times New Roman"/>
      <w:color w:val="00000A"/>
      <w:sz w:val="20"/>
      <w:szCs w:val="20"/>
      <w:lang w:bidi="ar-SA"/>
    </w:rPr>
  </w:style>
  <w:style w:type="paragraph" w:styleId="CREMERJ" w:customStyle="1">
    <w:name w:val="CREMERJ"/>
    <w:basedOn w:val="Cabealho"/>
    <w:qFormat/>
    <w:pPr>
      <w:jc w:val="both"/>
    </w:pPr>
    <w:rPr>
      <w:rFonts w:ascii="Times New Roman" w:hAnsi="Times New Roman" w:cs="Times New Roman"/>
    </w:rPr>
  </w:style>
  <w:style w:type="paragraph" w:styleId="Contedodatabela" w:customStyle="1">
    <w:name w:val="Conteúdo da tabela"/>
    <w:basedOn w:val="Normal"/>
    <w:qFormat/>
    <w:pPr>
      <w:suppressLineNumbers/>
    </w:pPr>
    <w:rPr/>
  </w:style>
  <w:style w:type="paragraph" w:styleId="Ttulodetabela" w:customStyle="1">
    <w:name w:val="Título de tabela"/>
    <w:basedOn w:val="Contedodatabela"/>
    <w:qFormat/>
    <w:pPr>
      <w:jc w:val="center"/>
    </w:pPr>
    <w:rPr>
      <w:b/>
      <w:bCs/>
    </w:rPr>
  </w:style>
  <w:style w:type="paragraph" w:styleId="Corpodetexto22" w:customStyle="1">
    <w:name w:val="Corpo de texto 22"/>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Corpodetexto21" w:customStyle="1">
    <w:name w:val="Corpo de texto 21"/>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PargrafodaLista1" w:customStyle="1">
    <w:name w:val="Parágrafo da Lista1"/>
    <w:basedOn w:val="Normal"/>
    <w:qFormat/>
    <w:pPr>
      <w:spacing w:before="0" w:after="0"/>
      <w:ind w:left="720" w:hanging="0"/>
      <w:contextualSpacing/>
    </w:pPr>
    <w:rPr/>
  </w:style>
  <w:style w:type="paragraph" w:styleId="Standard" w:customStyle="1">
    <w:name w:val="Standard"/>
    <w:qFormat/>
    <w:pPr>
      <w:widowControl/>
      <w:suppressAutoHyphens w:val="true"/>
      <w:bidi w:val="0"/>
      <w:spacing w:before="0" w:after="0"/>
      <w:jc w:val="left"/>
    </w:pPr>
    <w:rPr>
      <w:rFonts w:ascii="Liberation Serif;Times New Roma" w:hAnsi="Liberation Serif;Times New Roma" w:eastAsia="SimSun" w:cs="Mangal"/>
      <w:color w:val="00000A"/>
      <w:kern w:val="2"/>
      <w:sz w:val="24"/>
      <w:szCs w:val="24"/>
      <w:lang w:val="pt-BR" w:eastAsia="zh-CN" w:bidi="hi-IN"/>
    </w:rPr>
  </w:style>
  <w:style w:type="paragraph" w:styleId="Corpodotextorecuado">
    <w:name w:val="Body Text Indent"/>
    <w:basedOn w:val="Normal"/>
    <w:pPr>
      <w:spacing w:before="0" w:after="120"/>
      <w:ind w:left="283" w:hanging="0"/>
    </w:pPr>
    <w:rPr>
      <w:rFonts w:cs="Times New Roman"/>
    </w:rPr>
  </w:style>
  <w:style w:type="paragraph" w:styleId="Default" w:customStyle="1">
    <w:name w:val="Default"/>
    <w:qFormat/>
    <w:pPr>
      <w:widowControl w:val="false"/>
      <w:suppressAutoHyphens w:val="true"/>
      <w:bidi w:val="0"/>
      <w:spacing w:before="0" w:after="0"/>
      <w:jc w:val="left"/>
    </w:pPr>
    <w:rPr>
      <w:rFonts w:ascii="Arial" w:hAnsi="Arial" w:eastAsia="NSimSun" w:cs="Mangal"/>
      <w:color w:val="000000"/>
      <w:kern w:val="2"/>
      <w:sz w:val="24"/>
      <w:szCs w:val="24"/>
      <w:lang w:val="pt-BR" w:eastAsia="zh-CN" w:bidi="hi-IN"/>
    </w:rPr>
  </w:style>
  <w:style w:type="paragraph" w:styleId="CREMERJ1" w:customStyle="1">
    <w:name w:val="CREMERJ_1"/>
    <w:basedOn w:val="Normal"/>
    <w:qFormat/>
    <w:pPr>
      <w:jc w:val="both"/>
    </w:pPr>
    <w:rPr/>
  </w:style>
  <w:style w:type="paragraph" w:styleId="NormalWeb">
    <w:name w:val="Normal (Web)"/>
    <w:basedOn w:val="Normal"/>
    <w:qFormat/>
    <w:pPr>
      <w:spacing w:before="100" w:after="100"/>
    </w:pPr>
    <w:rPr>
      <w:rFonts w:ascii="Times New Roman" w:hAnsi="Times New Roman" w:eastAsia="Times New Roman" w:cs="Times New Roman"/>
      <w:lang w:eastAsia="pt-BR"/>
    </w:rPr>
  </w:style>
  <w:style w:type="paragraph" w:styleId="Annotationtext">
    <w:name w:val="annotation text"/>
    <w:basedOn w:val="Normal"/>
    <w:link w:val="TextodecomentrioChar"/>
    <w:uiPriority w:val="99"/>
    <w:semiHidden/>
    <w:unhideWhenUsed/>
    <w:qFormat/>
    <w:pPr/>
    <w:rPr>
      <w:rFonts w:cs="Mangal"/>
      <w:sz w:val="20"/>
      <w:szCs w:val="18"/>
    </w:rPr>
  </w:style>
  <w:style w:type="paragraph" w:styleId="BalloonText">
    <w:name w:val="Balloon Text"/>
    <w:basedOn w:val="Normal"/>
    <w:link w:val="TextodebaloChar"/>
    <w:uiPriority w:val="99"/>
    <w:semiHidden/>
    <w:unhideWhenUsed/>
    <w:qFormat/>
    <w:rsid w:val="0023177e"/>
    <w:pPr/>
    <w:rPr>
      <w:rFonts w:ascii="Tahoma" w:hAnsi="Tahoma" w:cs="Mangal"/>
      <w:sz w:val="16"/>
      <w:szCs w:val="14"/>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comments" Target="comment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Application>LibreOffice/7.4.6.2$Windows_X86_64 LibreOffice_project/5b1f5509c2decdade7fda905e3e1429a67acd63d</Application>
  <AppVersion>15.0000</AppVersion>
  <Pages>5</Pages>
  <Words>1580</Words>
  <Characters>8571</Characters>
  <CharactersWithSpaces>10013</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2021-01-23T02:03:00Z</dcterms:created>
  <dc:creator>Wallace Sant'Anna</dc:creator>
  <dc:description/>
  <dc:language>pt-BR</dc:language>
  <cp:lastModifiedBy/>
  <cp:lastPrinted>2022-06-24T12:03:00Z</cp:lastPrinted>
  <dcterms:modified xsi:type="dcterms:W3CDTF">2023-06-14T13:36:00Z</dcterms:modified>
  <cp:revision>72</cp:revision>
  <dc:subject/>
  <dc:title>Autorização de Despesa</dc:title>
</cp:coreProperties>
</file>

<file path=docProps/custom.xml><?xml version="1.0" encoding="utf-8"?>
<Properties xmlns="http://schemas.openxmlformats.org/officeDocument/2006/custom-properties" xmlns:vt="http://schemas.openxmlformats.org/officeDocument/2006/docPropsVTypes"/>
</file>