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38AB81"/>
        <w:jc w:val="center"/>
        <w:rPr/>
      </w:pPr>
      <w:r>
        <w:rPr>
          <w:rFonts w:cs="Calibri" w:ascii="Calibri" w:hAnsi="Calibri"/>
          <w:b/>
          <w:color w:val="FFFFFF"/>
        </w:rPr>
        <w:t>ANEXO II – MAPA DE RISCOS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commentRangeStart w:id="0"/>
      <w:r>
        <w:rPr>
          <w:rFonts w:cs="Calibri" w:ascii="Calibri" w:hAnsi="Calibri"/>
          <w:b/>
        </w:rPr>
        <w:t xml:space="preserve">Aquisição de Material </w:t>
      </w:r>
      <w:r>
        <w:rPr>
          <w:rFonts w:cs="Calibri" w:ascii="Calibri" w:hAnsi="Calibri"/>
          <w:b/>
          <w:color w:val="C9211E"/>
        </w:rPr>
        <w:t>(de consumo; de copa; de expediente …)</w:t>
      </w:r>
      <w:commentRangeEnd w:id="0"/>
      <w:r>
        <w:commentReference w:id="0"/>
      </w:r>
      <w:r>
        <w:rPr>
          <w:rFonts w:cs="Calibri" w:ascii="Calibri" w:hAnsi="Calibri"/>
          <w:b/>
          <w:color w:val="C9211E"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shd w:val="clear" w:color="auto" w:fill="38AB81"/>
        <w:jc w:val="center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  <w:t>FASE DE ANÁLISE PRELIMINAR</w:t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 – Ausência de designação do gestor da solução.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Ausência de designação de gestor da solução levando à manutenção de uma solução (e seu(s) contrato(s)) que não atenda mais a uma necessidade do órgão, seja porque a solução não consiga mais atender a essa necessidade, seja porque essa necessidade deixou de existir, com consequente desperdício de recursos.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 Diretoria deve publicar normativo definindo o papel dos gestores para cada solução do órgão, que normalmente é o requisitante da solução, e quais são as obrigações deste com relação à solução.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1.Assessoria jurídica não aprova o processo que não contenha, nos autos da contratação, declaração expressa do requisitante de que a manutenção da solução é conveniente e oportuna para atender a uma necessidade de negócio.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  <w:bCs/>
          <w:color w:val="CE181E"/>
        </w:rPr>
      </w:pPr>
      <w:r>
        <w:rPr>
          <w:rFonts w:cs="Calibri" w:ascii="Calibri" w:hAnsi="Calibri"/>
          <w:b/>
          <w:bCs/>
          <w:color w:val="CE181E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2 – Contratações desalinhadas com os planos.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Execução de contratações desalinhadas dos objetivos estabelecidos nos planos do Conselho, levando a deixar de investir em iniciativas que contribuam para o alcance desses.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Diretoria deve aprovar o resultado do planejamento conjunto de todas as contratações e do orçamento da organização, verificando o alinhamento das contratações previstas com os objetivos que constam dos planos, em especial as contratações de maior importância ou materialidade.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1.Diretoria, com auxílio do Controle Interno, ao aprovar os artefatos das principais contratações, verifica se foi estabelecido o alinhamento entre cada uma dessas contratações e os objetivos dos planos do Conselho.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 e Controle Interno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  <w:bCs/>
          <w:color w:val="CE181E"/>
        </w:rPr>
      </w:pPr>
      <w:r>
        <w:rPr>
          <w:rFonts w:cs="Calibri" w:ascii="Calibri" w:hAnsi="Calibri"/>
          <w:b/>
          <w:bCs/>
          <w:color w:val="CE181E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3 – Requisitos desnecessários.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Definição de requisitos da contratação indevidos, levando a limitação indevida da competição, com consequente elevação do preço contratado ou dependência (indevida) de um único fornecedor (no caso de inexigibilidade).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Contratação sem realização de estudos técnicos preliminares, levando à contratação que não produz resultados capazes de atender à necessidade da administração, com consequente desperdício de recursos.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Equipe de planejamento da contratação elabora quadro identificando as soluções de mercado (produtos, fornecedores, fabricantes etc.) que atendem aos requisitos especificados e, caso a quantidade de fornecedores seja considerada restrita, verifica se os requisitos que limitam a participação são realmente indispensáveis, de modo a avaliar a retirada ou flexibilização destes requisitos.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Equipe de Planejamento da Contratação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1.Assessoria jurídica não aprova o processo.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4 – Estimativas inadequadas de quantidades.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Estimativa de quantidades maior/menor que as necessidades da organização, levando à sobra/falta de produtos ou serviços, com consequente desperdício desses itens e de recursos financeiros.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Estimativa de quantidades menor que as necessidades da organização, levando à falta de produtos ou serviços para atender à necessidade da contração com consequente: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a) celebração de aditivos contratuais que poderiam ter sido evitados (esses aditivos podem fazer com que o órgão sofra o efeito do “jogo de planilha”, se os preços tiverem sido manipulados pela contratada);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b) novas contratações (por licitação ou não, se o erro de estimativa tiver sido grande, com todo o esforço administrativo decorrente);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c) potencial quebra da padronização dos produtos contratados;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d) perda do efeito de escala, no caso de celebração de aditivos ou de realização de novas contratações, o que leva a custo final maior do que no caso de se efetuar uma única contratação com a soma das quantidades contratadas separadamente; ou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e) utilização de orçamento superior ao previsto, o que pode levar ao cancelamento da contratação de outros itens previstos no planejamento conjunto das contratações (3).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Equipe de planejamento da contratação deve definir método para estimar as quantidades necessárias (se preciso, deve buscar métodos e técnicas para estimar as quantidades dos itens da solução em outros órgãos/entidades) e documentar a aplicação do método no processo de contratação.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2. A Equipe de planejamento da contratação deve fazer levantamento exaustivo da necessidade, de modo a diminuir o risco de celebração de aditivos ou novas contrações.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3. O Fiscal do contrato de uma determinada solução deve armazenar dados da execução contratual, de modo que a equipe de planejamento da contratação que elaborar os artefatos da próxima contratação da mesma solução ou de solução similar conte com informações de contratos anteriores, o que pode facilitar a definição das quantidades e dos requisitos da nova contratação.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Equipe de Planejamento da Contratação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Assessoria jurídica não aprova processo de contratação que não contenha, nos autos, a memória de cálculo das quantidades dos itens que serão contratados.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5 – Estimativas inadequadas de preços.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Coleta insuficiente de preços ou falta de método para realizar a estimativa, levando a estimativas inadequadas, com consequente utilização de parâmetro inadequado para análise da viabilidade da contratação e dificuldade de justificar as estimativas quando questionados por partes interessadas.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O Conselho deve publicar normativo estabelecendo procedimento consistente para elaboração de estimativas de preço.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Diretoria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 equipe de planejamento da contratação deve elaborar memória de cálculo das estimativas de preço, considerando uma cesta de preços conforme IN 65/2021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Análise Técnica e Compras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6 – Falta de abrangência da análise de viabilidade contratação.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Falta de abrangência da análise de viabilidade da contratação, levando a não considerar todos os aspectos necessários à análise, com consequente não contratação ou contratação de fornecedor que não é capaz de entregar a solução contratada ou a solução que não produz resultados capazes de atender às necessidades que originaram a contratação.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Equipe de planejamento elabora lista de verificação (checklist) para servir como base das justificativas expostas na conclusão da análise de viabilidade da contratação.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Equipe de Planejamento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Assessoria jurídica não aprova processo de contratação que não contenha, nos autos, a declaração de viabilidade da equipe de planejamento.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7 – Ausência de padronização dos editais.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Licitações com editais não padronizados, elaborados ad hoc, levando a multiplicidade de esforços para realizar licitações de objetos correlatos, com consequente esforço desnecessário para elaborar editais e repetição de erros.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Utilizar minutas padronizadas da AGU.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Licitações e Contratos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Assessoria jurídica ratifica a necessidade de utilização dos modelos da AGU.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Assessoria Jurídica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2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42"/>
        <w:gridCol w:w="2437"/>
        <w:gridCol w:w="2450"/>
        <w:gridCol w:w="2442"/>
      </w:tblGrid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8 – Falta de recursos financeiros para cumprimento das obrigações.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 falta de empenho realizado para a aquisição do objeto poderá inviabilizar o pagamento.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Empenhar recursos suficientes para as obrigações financeiras.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Gerente da Contabilidade com o aval do Diretor Tesoureiro</w:t>
            </w:r>
          </w:p>
        </w:tc>
      </w:tr>
      <w:tr>
        <w:trPr/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560" w:hRule="atLeast"/>
        </w:trPr>
        <w:tc>
          <w:tcPr>
            <w:tcW w:w="487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1.Providenciar complementação/subscrição de recursos.</w:t>
            </w:r>
          </w:p>
        </w:tc>
        <w:tc>
          <w:tcPr>
            <w:tcW w:w="489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Gerente da Contabilidade com o aval do Diretor Tesoureiro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0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23"/>
        <w:gridCol w:w="2452"/>
        <w:gridCol w:w="2447"/>
        <w:gridCol w:w="2447"/>
      </w:tblGrid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9 – Selecionar fornecedor inadequado.</w:t>
            </w:r>
          </w:p>
        </w:tc>
      </w:tr>
      <w:tr>
        <w:trPr/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Alta</w:t>
            </w:r>
          </w:p>
        </w:tc>
      </w:tr>
      <w:tr>
        <w:trPr/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Adjudicar e homologar o objeto à empresa com incapacidade técnica para fornecimento do objeto conforme estabelecido no Termo de Referência.</w:t>
            </w:r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Especificar no Termo de Referência as exigências para que a empresa tenha condições de realizar o fornecimento do objeto com o nível de conformidade necessário.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Á</w:t>
            </w:r>
            <w:bookmarkStart w:id="0" w:name="__DdeLink__1283_2421866671"/>
            <w:r>
              <w:rPr>
                <w:rFonts w:cs="Calibri" w:ascii="Calibri" w:hAnsi="Calibri"/>
                <w:sz w:val="20"/>
                <w:szCs w:val="20"/>
              </w:rPr>
              <w:t>rea de Análise Técnica e Compras</w:t>
            </w:r>
            <w:bookmarkEnd w:id="0"/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873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1. Verificar durante o processo se </w:t>
            </w:r>
            <w:r>
              <w:rPr>
                <w:rFonts w:eastAsia="SimSun;宋体" w:cs="Calibri" w:ascii="Calibri" w:hAnsi="Calibri"/>
                <w:color w:val="00000A"/>
                <w:sz w:val="20"/>
                <w:szCs w:val="20"/>
              </w:rPr>
              <w:t>a empresa encaminhou</w:t>
            </w:r>
            <w:r>
              <w:rPr>
                <w:rFonts w:cs="Calibri" w:ascii="Calibri" w:hAnsi="Calibri"/>
                <w:sz w:val="20"/>
                <w:szCs w:val="20"/>
              </w:rPr>
              <w:t xml:space="preserve"> toda documentação solicitada.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2. Desclassificar empresas que não atenderem os quesitos solicitados no Termo de Referência, garantindo-lhes o direito de defesa.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de Análise Técnica e Compras</w:t>
            </w:r>
          </w:p>
        </w:tc>
      </w:tr>
    </w:tbl>
    <w:p>
      <w:pPr>
        <w:pStyle w:val="Normal"/>
        <w:jc w:val="center"/>
        <w:textAlignment w:val="baseline"/>
        <w:rPr>
          <w:rFonts w:ascii="Calibri" w:hAnsi="Calibri" w:cs="Calibri"/>
        </w:rPr>
      </w:pPr>
      <w:r>
        <w:rPr>
          <w:rFonts w:cs="Calibri" w:ascii="Calibri" w:hAnsi="Calibri"/>
        </w:rPr>
      </w:r>
    </w:p>
    <w:tbl>
      <w:tblPr>
        <w:tblW w:w="9770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23"/>
        <w:gridCol w:w="2452"/>
        <w:gridCol w:w="2447"/>
        <w:gridCol w:w="2447"/>
      </w:tblGrid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shd w:val="clear" w:color="auto" w:fill="38AB81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10 – Demanda equivocada. Não verificar a real necessidade.</w:t>
            </w:r>
          </w:p>
        </w:tc>
      </w:tr>
      <w:tr>
        <w:trPr/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69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1. Falta de planejamento das áreas requisitantes.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2. Erro na solicitação da demanda.</w:t>
            </w:r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Elaboração de formulários detalhados para as áreas requisitantes preencherem.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Área de Análise Técnica e Compras</w:t>
            </w:r>
          </w:p>
        </w:tc>
      </w:tr>
      <w:tr>
        <w:trPr/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826" w:hRule="atLeast"/>
        </w:trPr>
        <w:tc>
          <w:tcPr>
            <w:tcW w:w="487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Participação das áreas requisitantes em reuniões para melhor definir o objeto, assim como todos os detalhamentos.</w:t>
            </w:r>
          </w:p>
        </w:tc>
        <w:tc>
          <w:tcPr>
            <w:tcW w:w="48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  <w:vAlign w:val="cente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de Análise Técnica e Compras e Demandantes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771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32"/>
        <w:gridCol w:w="2442"/>
        <w:gridCol w:w="2450"/>
        <w:gridCol w:w="2446"/>
      </w:tblGrid>
      <w:tr>
        <w:trPr/>
        <w:tc>
          <w:tcPr>
            <w:tcW w:w="97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11 – Elaboração de Termo de Referência inadequado.</w:t>
            </w:r>
          </w:p>
        </w:tc>
      </w:tr>
      <w:tr>
        <w:trPr/>
        <w:tc>
          <w:tcPr>
            <w:tcW w:w="2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Alta</w:t>
            </w:r>
          </w:p>
        </w:tc>
      </w:tr>
      <w:tr>
        <w:trPr/>
        <w:tc>
          <w:tcPr>
            <w:tcW w:w="24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Média</w:t>
            </w:r>
          </w:p>
        </w:tc>
        <w:tc>
          <w:tcPr>
            <w:tcW w:w="2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7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1. Falta de capacitação dos servidores.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2. Sobrecarga de trabalho.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3. Desconhecimento técnico do requisitante.</w:t>
            </w:r>
          </w:p>
        </w:tc>
      </w:tr>
      <w:tr>
        <w:trPr/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627" w:hRule="atLeast"/>
        </w:trPr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Capacitação dos servidores.</w:t>
            </w:r>
          </w:p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2. Remanejamento do quadro de pessoal.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Setor de Recursos Humanos</w:t>
            </w:r>
          </w:p>
        </w:tc>
      </w:tr>
      <w:tr>
        <w:trPr/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/>
        <w:tc>
          <w:tcPr>
            <w:tcW w:w="487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Solicitar a revisão da assessoria jurídica.</w:t>
            </w:r>
          </w:p>
        </w:tc>
        <w:tc>
          <w:tcPr>
            <w:tcW w:w="489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Jurídica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W w:w="9795" w:type="dxa"/>
        <w:jc w:val="center"/>
        <w:tblInd w:w="0" w:type="dxa"/>
        <w:tblLayout w:type="fixed"/>
        <w:tblCellMar>
          <w:top w:w="55" w:type="dxa"/>
          <w:left w:w="4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31"/>
        <w:gridCol w:w="2442"/>
        <w:gridCol w:w="2449"/>
        <w:gridCol w:w="2472"/>
      </w:tblGrid>
      <w:tr>
        <w:trPr/>
        <w:tc>
          <w:tcPr>
            <w:tcW w:w="97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RISCO 12 – Atraso na emissão do parecer jurídico, caso necessário</w:t>
            </w:r>
          </w:p>
        </w:tc>
      </w:tr>
      <w:tr>
        <w:trPr/>
        <w:tc>
          <w:tcPr>
            <w:tcW w:w="2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Probabilidade: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Média</w:t>
            </w:r>
          </w:p>
        </w:tc>
        <w:tc>
          <w:tcPr>
            <w:tcW w:w="2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Alta</w:t>
            </w:r>
          </w:p>
        </w:tc>
      </w:tr>
      <w:tr>
        <w:trPr/>
        <w:tc>
          <w:tcPr>
            <w:tcW w:w="24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Impacto:</w:t>
            </w:r>
          </w:p>
        </w:tc>
        <w:tc>
          <w:tcPr>
            <w:tcW w:w="2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) Baixa</w:t>
            </w:r>
          </w:p>
        </w:tc>
        <w:tc>
          <w:tcPr>
            <w:tcW w:w="2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   ) Média</w:t>
            </w:r>
          </w:p>
        </w:tc>
        <w:tc>
          <w:tcPr>
            <w:tcW w:w="2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</w:rPr>
              <w:t>( x ) Alta</w:t>
            </w:r>
          </w:p>
        </w:tc>
      </w:tr>
      <w:tr>
        <w:trPr/>
        <w:tc>
          <w:tcPr>
            <w:tcW w:w="97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Dano</w:t>
            </w:r>
          </w:p>
        </w:tc>
      </w:tr>
      <w:tr>
        <w:trPr/>
        <w:tc>
          <w:tcPr>
            <w:tcW w:w="9794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A"/>
                <w:spacing w:val="3"/>
                <w:sz w:val="20"/>
                <w:szCs w:val="20"/>
                <w:shd w:fill="FFFFFF" w:val="clear"/>
              </w:rPr>
              <w:t>1. Geração de atraso para a efetivação da aquisição, causando possível dano ao erário.</w:t>
            </w:r>
          </w:p>
        </w:tc>
      </w:tr>
      <w:tr>
        <w:trPr/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Preventiva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>
          <w:trHeight w:val="366" w:hRule="atLeast"/>
        </w:trPr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1. Iniciar a confecção do Termo de Referência com antecedência.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Área de Análise Técnica e Compras e Demandantes</w:t>
            </w:r>
          </w:p>
        </w:tc>
      </w:tr>
      <w:tr>
        <w:trPr/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Ação de Contingência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38AB81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FFFFFF"/>
                <w:sz w:val="20"/>
                <w:szCs w:val="20"/>
              </w:rPr>
              <w:t>Responsável</w:t>
            </w:r>
          </w:p>
        </w:tc>
      </w:tr>
      <w:tr>
        <w:trPr/>
        <w:tc>
          <w:tcPr>
            <w:tcW w:w="487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both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 xml:space="preserve">1. </w:t>
            </w:r>
            <w:bookmarkStart w:id="1" w:name="_GoBack"/>
            <w:bookmarkEnd w:id="1"/>
            <w:r>
              <w:rPr>
                <w:rFonts w:cs="Calibri" w:ascii="Calibri" w:hAnsi="Calibri"/>
                <w:sz w:val="20"/>
                <w:szCs w:val="20"/>
              </w:rPr>
              <w:t>Definir uma data limite para a finalização do processo de análise da assessoria jurídica.</w:t>
            </w:r>
          </w:p>
        </w:tc>
        <w:tc>
          <w:tcPr>
            <w:tcW w:w="4921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FFFFFF" w:val="clear"/>
          </w:tcPr>
          <w:p>
            <w:pPr>
              <w:pStyle w:val="Contedodatabela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Calibri" w:ascii="Calibri" w:hAnsi="Calibri"/>
                <w:color w:val="000000"/>
                <w:sz w:val="20"/>
                <w:szCs w:val="20"/>
                <w:shd w:fill="FFFFFF" w:val="clear"/>
              </w:rPr>
              <w:t>Área Jurídica</w:t>
            </w:r>
          </w:p>
        </w:tc>
      </w:tr>
    </w:tbl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</w:p>
    <w:p>
      <w:pPr>
        <w:pStyle w:val="Normal"/>
        <w:jc w:val="center"/>
        <w:rPr>
          <w:rFonts w:ascii="Calibri" w:hAnsi="Calibri" w:cs="Calibri"/>
          <w:b/>
          <w:b/>
        </w:rPr>
      </w:pPr>
      <w:r>
        <w:rPr>
          <w:rFonts w:cs="Calibri" w:ascii="Calibri" w:hAnsi="Calibri"/>
          <w:b/>
        </w:rPr>
      </w:r>
      <w:r>
        <w:br w:type="page"/>
      </w:r>
    </w:p>
    <w:p>
      <w:pPr>
        <w:pStyle w:val="Normal"/>
        <w:shd w:val="clear" w:color="auto" w:fill="38AB81"/>
        <w:jc w:val="center"/>
        <w:rPr>
          <w:rFonts w:ascii="Calibri" w:hAnsi="Calibri"/>
          <w:b/>
          <w:b/>
          <w:bCs/>
          <w:color w:val="FFFFFF"/>
        </w:rPr>
      </w:pPr>
      <w:r>
        <w:rPr>
          <w:rFonts w:ascii="Calibri" w:hAnsi="Calibri"/>
          <w:b/>
          <w:bCs/>
          <w:color w:val="FFFFFF"/>
        </w:rPr>
        <w:t>MATRIZ DE RISCOS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rFonts w:ascii="Calibri" w:hAnsi="Calibri" w:cs="Calibri"/>
          <w:b/>
          <w:b/>
          <w:bCs/>
          <w:color w:val="FFFFFF"/>
        </w:rPr>
      </w:pPr>
      <w:r>
        <w:rPr>
          <w:rFonts w:cs="Calibri" w:ascii="Calibri" w:hAnsi="Calibri"/>
          <w:b/>
          <w:bCs/>
          <w:color w:val="FFFFFF"/>
        </w:rPr>
      </w:r>
    </w:p>
    <w:p>
      <w:pPr>
        <w:pStyle w:val="Normal"/>
        <w:jc w:val="center"/>
        <w:rPr>
          <w:rFonts w:ascii="Calibri" w:hAnsi="Calibri" w:cs="Calibri"/>
          <w:b/>
          <w:b/>
          <w:bCs/>
          <w:color w:val="FFFFFF"/>
        </w:rPr>
      </w:pPr>
      <w:r>
        <w:rPr/>
        <w:drawing>
          <wp:anchor behindDoc="0" distT="0" distB="0" distL="0" distR="0" simplePos="0" locked="0" layoutInCell="0" allowOverlap="1" relativeHeight="1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228465" cy="5965190"/>
            <wp:effectExtent l="0" t="0" r="0" b="0"/>
            <wp:wrapSquare wrapText="largest"/>
            <wp:docPr id="1" name="Figura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8465" cy="596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3"/>
      <w:footerReference w:type="default" r:id="rId4"/>
      <w:type w:val="nextPage"/>
      <w:pgSz w:w="11906" w:h="16838"/>
      <w:pgMar w:left="1077" w:right="1077" w:gutter="0" w:header="709" w:top="1900" w:footer="283" w:bottom="1587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comment w:id="0" w:author="Autor desconhecido" w:date="2022-07-28T12:24:00Z" w:initials="">
    <w:p>
      <w:r>
        <w:rPr>
          <w:rFonts w:ascii="Liberation Serif" w:hAnsi="Liberation Serif" w:eastAsia="Segoe UI" w:cs="Tahoma"/>
          <w:kern w:val="0"/>
          <w:sz w:val="20"/>
          <w:lang w:val="en-US" w:eastAsia="en-US" w:bidi="en-US"/>
        </w:rPr>
        <w:t>Descrição do objeto conforme ETP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>
        <w:rStyle w:val="LinkdaInternet"/>
        <w:rFonts w:cs="Calibri" w:ascii="Calibri" w:hAnsi="Calibri"/>
        <w:color w:val="auto"/>
        <w:sz w:val="16"/>
        <w:szCs w:val="16"/>
        <w:u w:val="none"/>
      </w:rPr>
      <w:t>Classificação da informação contida no documento ( X ) Público  (    ) Sigiloso  (    ) Restrito  |  Qual restrição?</w:t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both"/>
      <w:rPr/>
    </w:pPr>
    <w:r>
      <w:rPr/>
      <w:drawing>
        <wp:anchor behindDoc="1" distT="0" distB="0" distL="0" distR="0" simplePos="0" locked="0" layoutInCell="0" allowOverlap="1" relativeHeight="8">
          <wp:simplePos x="0" y="0"/>
          <wp:positionH relativeFrom="column">
            <wp:align>center</wp:align>
          </wp:positionH>
          <wp:positionV relativeFrom="paragraph">
            <wp:posOffset>48260</wp:posOffset>
          </wp:positionV>
          <wp:extent cx="6478905" cy="502920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92" r="-7" b="-92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502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"/>
      <w:tabs>
        <w:tab w:val="clear" w:pos="4819"/>
        <w:tab w:val="clear" w:pos="9638"/>
        <w:tab w:val="center" w:pos="4419" w:leader="none"/>
        <w:tab w:val="left" w:pos="5812" w:leader="none"/>
        <w:tab w:val="right" w:pos="8838" w:leader="none"/>
      </w:tabs>
      <w:jc w:val="center"/>
      <w:rPr/>
    </w:pPr>
    <w:r>
      <w:rPr/>
    </w:r>
  </w:p>
  <w:p>
    <w:pPr>
      <w:pStyle w:val="Rodap1"/>
      <w:tabs>
        <w:tab w:val="center" w:pos="4419" w:leader="none"/>
        <w:tab w:val="left" w:pos="5812" w:leader="none"/>
        <w:tab w:val="right" w:pos="8838" w:leader="none"/>
      </w:tabs>
      <w:jc w:val="center"/>
      <w:rPr>
        <w:sz w:val="16"/>
        <w:szCs w:val="16"/>
      </w:rPr>
    </w:pPr>
    <w:r>
      <w:rPr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rPr/>
    </w:pPr>
    <w:r>
      <w:rPr/>
      <w:drawing>
        <wp:anchor behindDoc="1" distT="0" distB="0" distL="0" distR="0" simplePos="0" locked="0" layoutInCell="0" allowOverlap="1" relativeHeight="15">
          <wp:simplePos x="0" y="0"/>
          <wp:positionH relativeFrom="column">
            <wp:posOffset>-143510</wp:posOffset>
          </wp:positionH>
          <wp:positionV relativeFrom="paragraph">
            <wp:posOffset>-78105</wp:posOffset>
          </wp:positionV>
          <wp:extent cx="6478905" cy="808990"/>
          <wp:effectExtent l="0" t="0" r="0" b="0"/>
          <wp:wrapSquare wrapText="largest"/>
          <wp:docPr id="2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51" r="-7" b="-51"/>
                  <a:stretch>
                    <a:fillRect/>
                  </a:stretch>
                </pic:blipFill>
                <pic:spPr bwMode="auto">
                  <a:xfrm>
                    <a:off x="0" y="0"/>
                    <a:ext cx="6478905" cy="808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" w:hAnsi="Liberation Serif;Times New Roma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ontepargpadro1" w:customStyle="1">
    <w:name w:val="Fonte parág. padrão1"/>
    <w:qFormat/>
    <w:rPr/>
  </w:style>
  <w:style w:type="character" w:styleId="LinkdaInternet" w:customStyle="1">
    <w:name w:val="Hyperlink"/>
    <w:basedOn w:val="Fontepargpadro1"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Entradadousurio" w:customStyle="1">
    <w:name w:val="Entrada do usuário"/>
    <w:qFormat/>
    <w:rPr>
      <w:rFonts w:ascii="Liberation Mono;Courier New" w:hAnsi="Liberation Mono;Courier New" w:eastAsia="NSimSun" w:cs="Liberation Mono;Courier New"/>
      <w:color w:val="00000A"/>
    </w:rPr>
  </w:style>
  <w:style w:type="character" w:styleId="Linkdainternetvisitado" w:customStyle="1">
    <w:name w:val="FollowedHyperlink"/>
    <w:rPr>
      <w:color w:val="800000"/>
      <w:u w:val="single"/>
    </w:rPr>
  </w:style>
  <w:style w:type="character" w:styleId="Marcas" w:customStyle="1">
    <w:name w:val="Marcas"/>
    <w:qFormat/>
    <w:rPr>
      <w:rFonts w:ascii="OpenSymbol;Arial Unicode MS" w:hAnsi="OpenSymbol;Arial Unicode MS" w:eastAsia="OpenSymbol;Arial Unicode MS" w:cs="OpenSymbol;Arial Unicode MS"/>
    </w:rPr>
  </w:style>
  <w:style w:type="character" w:styleId="Calibri12" w:customStyle="1">
    <w:name w:val="Calibri_12"/>
    <w:basedOn w:val="DefaultParagraphFont"/>
    <w:qFormat/>
    <w:rPr>
      <w:rFonts w:ascii="Calibri" w:hAnsi="Calibri"/>
      <w:sz w:val="24"/>
    </w:rPr>
  </w:style>
  <w:style w:type="character" w:styleId="Calibri12b" w:customStyle="1">
    <w:name w:val="Calibri_12b"/>
    <w:basedOn w:val="DefaultParagraphFont"/>
    <w:qFormat/>
    <w:rPr>
      <w:rFonts w:ascii="Calibri" w:hAnsi="Calibri"/>
      <w:b/>
      <w:color w:val="FFFFFF" w:themeColor="background1"/>
      <w:sz w:val="24"/>
    </w:rPr>
  </w:style>
  <w:style w:type="character" w:styleId="Strong" w:customStyle="1">
    <w:name w:val="Strong"/>
    <w:qFormat/>
    <w:rPr>
      <w:b/>
      <w:bCs/>
    </w:rPr>
  </w:style>
  <w:style w:type="character" w:styleId="Marcadores" w:customStyle="1">
    <w:name w:val="Marcadores"/>
    <w:qFormat/>
    <w:rPr>
      <w:rFonts w:ascii="OpenSymbol" w:hAnsi="OpenSymbol" w:eastAsia="OpenSymbol" w:cs="OpenSymbol"/>
    </w:rPr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Pr>
      <w:rFonts w:ascii="Liberation Serif;Times New Roma" w:hAnsi="Liberation Serif;Times New Roma" w:cs="Mangal"/>
      <w:kern w:val="2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924a5"/>
    <w:rPr>
      <w:rFonts w:ascii="Tahoma" w:hAnsi="Tahoma" w:cs="Mangal"/>
      <w:kern w:val="2"/>
      <w:sz w:val="16"/>
      <w:szCs w:val="14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dodocumento">
    <w:name w:val="Title"/>
    <w:basedOn w:val="Normal"/>
    <w:next w:val="Corpodotexto"/>
    <w:uiPriority w:val="10"/>
    <w:qFormat/>
    <w:pPr>
      <w:keepNext w:val="true"/>
      <w:spacing w:before="240" w:after="120"/>
    </w:pPr>
    <w:rPr>
      <w:rFonts w:ascii="Liberation Sans;Arial" w:hAnsi="Liberation Sans;Arial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paragraph" w:styleId="Contedodalista" w:customStyle="1">
    <w:name w:val="Conteúdo da lista"/>
    <w:basedOn w:val="Normal"/>
    <w:qFormat/>
    <w:pPr>
      <w:ind w:left="567" w:hanging="0"/>
    </w:pPr>
    <w:rPr/>
  </w:style>
  <w:style w:type="paragraph" w:styleId="Rodap1" w:customStyle="1">
    <w:name w:val="Rodapé1"/>
    <w:basedOn w:val="Normal"/>
    <w:qFormat/>
    <w:pPr>
      <w:tabs>
        <w:tab w:val="clear" w:pos="720"/>
        <w:tab w:val="center" w:pos="4419" w:leader="none"/>
        <w:tab w:val="right" w:pos="8838" w:leader="none"/>
      </w:tabs>
    </w:pPr>
    <w:rPr>
      <w:rFonts w:ascii="Times New Roman" w:hAnsi="Times New Roman" w:eastAsia="Times New Roman" w:cs="Times New Roman"/>
      <w:color w:val="00000A"/>
      <w:sz w:val="20"/>
      <w:szCs w:val="20"/>
      <w:lang w:bidi="ar-SA"/>
    </w:rPr>
  </w:style>
  <w:style w:type="paragraph" w:styleId="CREMERJ" w:customStyle="1">
    <w:name w:val="CREMERJ"/>
    <w:basedOn w:val="Cabealho"/>
    <w:qFormat/>
    <w:pPr>
      <w:jc w:val="both"/>
    </w:pPr>
    <w:rPr>
      <w:rFonts w:ascii="Times New Roman" w:hAnsi="Times New Roman" w:cs="Times New Roma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Corpodetexto22" w:customStyle="1">
    <w:name w:val="Corpo de texto 22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Corpodetexto21" w:customStyle="1">
    <w:name w:val="Corpo de texto 21"/>
    <w:basedOn w:val="Normal"/>
    <w:qFormat/>
    <w:pPr>
      <w:tabs>
        <w:tab w:val="left" w:pos="720" w:leader="none"/>
        <w:tab w:val="left" w:pos="1440" w:leader="none"/>
        <w:tab w:val="left" w:pos="2160" w:leader="none"/>
        <w:tab w:val="left" w:pos="2880" w:leader="none"/>
      </w:tabs>
      <w:spacing w:lineRule="atLeast" w:line="240" w:before="280" w:after="280"/>
      <w:jc w:val="both"/>
    </w:pPr>
    <w:rPr>
      <w:rFonts w:ascii="Arial" w:hAnsi="Arial" w:cs="Times New Roman"/>
      <w:b/>
      <w:bCs/>
      <w:color w:val="000000"/>
    </w:rPr>
  </w:style>
  <w:style w:type="paragraph" w:styleId="PargrafodaLista1" w:customStyle="1">
    <w:name w:val="Parágrafo da Lista1"/>
    <w:basedOn w:val="Normal"/>
    <w:qFormat/>
    <w:pPr>
      <w:spacing w:before="0" w:after="0"/>
      <w:ind w:left="720" w:hanging="0"/>
      <w:contextualSpacing/>
    </w:pPr>
    <w:rPr/>
  </w:style>
  <w:style w:type="paragraph" w:styleId="Standard" w:customStyle="1">
    <w:name w:val="Standard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;Times New Roma" w:hAnsi="Liberation Serif;Times New Roma" w:eastAsia="SimSun" w:cs="Mangal"/>
      <w:color w:val="00000A"/>
      <w:kern w:val="2"/>
      <w:sz w:val="24"/>
      <w:szCs w:val="24"/>
      <w:lang w:val="pt-BR" w:eastAsia="zh-CN" w:bidi="hi-IN"/>
    </w:rPr>
  </w:style>
  <w:style w:type="paragraph" w:styleId="Corpodotextorecuado">
    <w:name w:val="Body Text Indent"/>
    <w:basedOn w:val="Normal"/>
    <w:pPr>
      <w:spacing w:before="0" w:after="120"/>
      <w:ind w:left="283" w:hanging="0"/>
    </w:pPr>
    <w:rPr>
      <w:rFonts w:cs="Times New Roman"/>
    </w:rPr>
  </w:style>
  <w:style w:type="paragraph" w:styleId="Default" w:customStyle="1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Arial" w:hAnsi="Arial" w:eastAsia="NSimSun" w:cs="Mangal"/>
      <w:color w:val="000000"/>
      <w:kern w:val="2"/>
      <w:sz w:val="24"/>
      <w:szCs w:val="24"/>
      <w:lang w:val="pt-BR" w:eastAsia="zh-CN" w:bidi="hi-IN"/>
    </w:rPr>
  </w:style>
  <w:style w:type="paragraph" w:styleId="CREMERJ1" w:customStyle="1">
    <w:name w:val="CREMERJ_1"/>
    <w:basedOn w:val="Normal"/>
    <w:qFormat/>
    <w:pPr>
      <w:jc w:val="both"/>
    </w:pPr>
    <w:rPr/>
  </w:style>
  <w:style w:type="paragraph" w:styleId="NormalWeb">
    <w:name w:val="Normal (Web)"/>
    <w:basedOn w:val="Normal"/>
    <w:qFormat/>
    <w:pPr>
      <w:spacing w:before="100" w:after="100"/>
    </w:pPr>
    <w:rPr>
      <w:rFonts w:ascii="Times New Roman" w:hAnsi="Times New Roman" w:eastAsia="Times New Roman" w:cs="Times New Roman"/>
      <w:lang w:eastAsia="pt-BR"/>
    </w:rPr>
  </w:style>
  <w:style w:type="paragraph" w:styleId="Annotationtext">
    <w:name w:val="annotation text"/>
    <w:basedOn w:val="Normal"/>
    <w:link w:val="TextodecomentrioChar"/>
    <w:uiPriority w:val="99"/>
    <w:semiHidden/>
    <w:unhideWhenUsed/>
    <w:qFormat/>
    <w:pPr/>
    <w:rPr>
      <w:rFonts w:cs="Mangal"/>
      <w:sz w:val="20"/>
      <w:szCs w:val="18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924a5"/>
    <w:pPr/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comments" Target="comment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Application>LibreOffice/7.4.6.2$Windows_X86_64 LibreOffice_project/5b1f5509c2decdade7fda905e3e1429a67acd63d</Application>
  <AppVersion>15.0000</AppVersion>
  <Pages>7</Pages>
  <Words>1677</Words>
  <Characters>9163</Characters>
  <CharactersWithSpaces>10716</CharactersWithSpaces>
  <Paragraphs>247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2021-01-23T02:03:00Z</dcterms:created>
  <dc:creator>Wallace Sant'Anna</dc:creator>
  <dc:description/>
  <dc:language>pt-BR</dc:language>
  <cp:lastModifiedBy/>
  <cp:lastPrinted>2023-05-29T16:55:04Z</cp:lastPrinted>
  <dcterms:modified xsi:type="dcterms:W3CDTF">2023-05-29T17:21:32Z</dcterms:modified>
  <cp:revision>68</cp:revision>
  <dc:subject/>
  <dc:title>Autorização de Despesa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