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jpeg" ContentType="image/jpeg"/>
  <Override PartName="/word/media/image2.jpeg" ContentType="image/jpeg"/>
  <Override PartName="/word/comments.xml" ContentType="application/vnd.openxmlformats-officedocument.wordprocessingml.comment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38AB81"/>
        <w:jc w:val="center"/>
        <w:rPr>
          <w:rFonts w:ascii="Calibri" w:hAnsi="Calibri"/>
        </w:rPr>
      </w:pPr>
      <w:commentRangeStart w:id="0"/>
      <w:r>
        <w:rPr>
          <w:rFonts w:cs="Calibri" w:ascii="Calibri" w:hAnsi="Calibri"/>
          <w:b/>
          <w:bCs/>
          <w:color w:val="FFFFFF"/>
        </w:rPr>
        <w:t xml:space="preserve">PROCESSO </w:t>
      </w:r>
      <w:r>
        <w:rPr>
          <w:rFonts w:cs="Calibri" w:ascii="Calibri" w:hAnsi="Calibri"/>
          <w:b/>
          <w:bCs/>
          <w:color w:val="C9211E"/>
        </w:rPr>
        <w:t>XX/2023</w:t>
      </w:r>
      <w:r>
        <w:rPr>
          <w:rFonts w:cs="Calibri" w:ascii="Calibri" w:hAnsi="Calibri"/>
          <w:b/>
          <w:bCs/>
          <w:color w:val="FFFFFF"/>
        </w:rPr>
        <w:t xml:space="preserve"> – DISPENSA DE LICITAÇÃO </w:t>
      </w:r>
      <w:r>
        <w:rPr>
          <w:rFonts w:cs="Calibri" w:ascii="Calibri" w:hAnsi="Calibri"/>
          <w:b/>
          <w:bCs/>
          <w:color w:val="C9211E"/>
        </w:rPr>
        <w:t>XX/2023</w:t>
      </w:r>
      <w:commentRangeEnd w:id="0"/>
      <w:r>
        <w:commentReference w:id="0"/>
      </w:r>
      <w:r>
        <w:rPr>
          <w:rFonts w:cs="Calibri" w:ascii="Calibri" w:hAnsi="Calibri"/>
          <w:b/>
          <w:bCs/>
          <w:color w:val="C9211E"/>
        </w:rPr>
      </w:r>
    </w:p>
    <w:p>
      <w:pPr>
        <w:pStyle w:val="Normal"/>
        <w:shd w:val="clear" w:color="auto" w:fill="38AB81"/>
        <w:jc w:val="center"/>
        <w:rPr>
          <w:rFonts w:ascii="Calibri" w:hAnsi="Calibri" w:cs="Calibri"/>
          <w:b/>
          <w:b/>
          <w:bCs/>
          <w:color w:val="FFFFFF"/>
        </w:rPr>
      </w:pPr>
      <w:r>
        <w:rPr>
          <w:rFonts w:cs="Calibri" w:ascii="Calibri" w:hAnsi="Calibri"/>
          <w:b/>
          <w:bCs/>
          <w:color w:val="FFFFFF"/>
        </w:rPr>
        <w:t>TERMO DE REFERÊNCIA</w:t>
      </w:r>
    </w:p>
    <w:p>
      <w:pPr>
        <w:pStyle w:val="Normal"/>
        <w:jc w:val="center"/>
        <w:rPr>
          <w:rFonts w:ascii="Calibri" w:hAnsi="Calibri" w:cs="Calibri"/>
          <w:b/>
          <w:b/>
          <w:bCs/>
          <w:color w:val="FFFFFF"/>
        </w:rPr>
      </w:pPr>
      <w:r>
        <w:rPr>
          <w:rFonts w:cs="Calibri" w:ascii="Calibri" w:hAnsi="Calibri"/>
          <w:b/>
          <w:bCs/>
          <w:color w:val="FFFFFF"/>
        </w:rPr>
      </w:r>
    </w:p>
    <w:p>
      <w:pPr>
        <w:pStyle w:val="Normal"/>
        <w:numPr>
          <w:ilvl w:val="0"/>
          <w:numId w:val="1"/>
        </w:numPr>
        <w:shd w:val="clear" w:color="auto" w:fill="38AB81"/>
        <w:jc w:val="both"/>
        <w:rPr>
          <w:rFonts w:ascii="Calibri" w:hAnsi="Calibri"/>
        </w:rPr>
      </w:pPr>
      <w:r>
        <w:rPr>
          <w:rFonts w:cs="Calibri" w:ascii="Calibri" w:hAnsi="Calibri"/>
          <w:b/>
          <w:bCs/>
          <w:color w:val="FFFFFF"/>
        </w:rPr>
        <w:t>DAS CONDIÇÕES GERAIS DA CONTRATAÇÃO (art. 6º, XXIII, “a” e “i” da Lei n. 14.133/2021).</w:t>
      </w:r>
    </w:p>
    <w:p>
      <w:pPr>
        <w:pStyle w:val="Normal"/>
        <w:jc w:val="both"/>
        <w:rPr>
          <w:rFonts w:ascii="Calibri" w:hAnsi="Calibri" w:cs="Calibri"/>
          <w:b/>
          <w:b/>
          <w:bCs/>
          <w:color w:val="FFFFFF"/>
        </w:rPr>
      </w:pPr>
      <w:r>
        <w:rPr>
          <w:rFonts w:cs="Calibri" w:ascii="Calibri" w:hAnsi="Calibri"/>
          <w:b/>
          <w:bCs/>
          <w:color w:val="FFFFFF"/>
        </w:rPr>
      </w:r>
    </w:p>
    <w:p>
      <w:pPr>
        <w:pStyle w:val="Normal"/>
        <w:numPr>
          <w:ilvl w:val="1"/>
          <w:numId w:val="1"/>
        </w:numPr>
        <w:ind w:left="0" w:hanging="0"/>
        <w:jc w:val="both"/>
        <w:rPr>
          <w:rFonts w:ascii="Calibri" w:hAnsi="Calibri"/>
        </w:rPr>
      </w:pPr>
      <w:commentRangeStart w:id="1"/>
      <w:r>
        <w:rPr>
          <w:rFonts w:cs="Calibri" w:ascii="Calibri" w:hAnsi="Calibri"/>
          <w:color w:val="C9211E"/>
        </w:rPr>
        <w:t>Aquisição de Material (de expediente, de consumo, de manutenção, de pintura)</w:t>
      </w:r>
      <w:r>
        <w:rPr>
          <w:rFonts w:cs="Calibri" w:ascii="Calibri" w:hAnsi="Calibri"/>
          <w:color w:val="C9211E"/>
        </w:rPr>
      </w:r>
      <w:commentRangeEnd w:id="1"/>
      <w:r>
        <w:commentReference w:id="1"/>
      </w:r>
      <w:r>
        <w:rPr>
          <w:rFonts w:cs="Calibri" w:ascii="Calibri" w:hAnsi="Calibri"/>
          <w:color w:val="00000A"/>
        </w:rPr>
        <w:t>, conforme condições, quantidades e exigências estabelecidas neste instrumento e seus anexos:</w:t>
      </w:r>
    </w:p>
    <w:p>
      <w:pPr>
        <w:pStyle w:val="Normal"/>
        <w:jc w:val="both"/>
        <w:rPr>
          <w:rFonts w:ascii="Calibri" w:hAnsi="Calibri" w:cs="Calibri"/>
          <w:color w:val="00000A"/>
        </w:rPr>
      </w:pPr>
      <w:r>
        <w:rPr>
          <w:rFonts w:cs="Calibri" w:ascii="Calibri" w:hAnsi="Calibri"/>
          <w:color w:val="00000A"/>
        </w:rPr>
      </w:r>
    </w:p>
    <w:tbl>
      <w:tblPr>
        <w:tblW w:w="9752" w:type="dxa"/>
        <w:jc w:val="center"/>
        <w:tblInd w:w="0" w:type="dxa"/>
        <w:tblLayout w:type="fixed"/>
        <w:tblCellMar>
          <w:top w:w="55" w:type="dxa"/>
          <w:left w:w="12" w:type="dxa"/>
          <w:bottom w:w="55" w:type="dxa"/>
          <w:right w:w="55" w:type="dxa"/>
        </w:tblCellMar>
        <w:tblLook w:firstRow="1" w:noVBand="1" w:lastRow="0" w:firstColumn="1" w:lastColumn="0" w:noHBand="0" w:val="04a0"/>
      </w:tblPr>
      <w:tblGrid>
        <w:gridCol w:w="529"/>
        <w:gridCol w:w="4429"/>
        <w:gridCol w:w="812"/>
        <w:gridCol w:w="980"/>
        <w:gridCol w:w="1000"/>
        <w:gridCol w:w="1003"/>
        <w:gridCol w:w="998"/>
      </w:tblGrid>
      <w:tr>
        <w:trPr/>
        <w:tc>
          <w:tcPr>
            <w:tcW w:w="529"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commentRangeStart w:id="2"/>
            <w:r>
              <w:rPr>
                <w:rFonts w:cs="Calibri" w:ascii="Calibri" w:hAnsi="Calibri"/>
                <w:b/>
                <w:bCs/>
                <w:color w:val="FFFFFF"/>
                <w:sz w:val="20"/>
                <w:szCs w:val="20"/>
              </w:rPr>
              <w:t>ITEM</w:t>
            </w:r>
          </w:p>
        </w:tc>
        <w:tc>
          <w:tcPr>
            <w:tcW w:w="4429"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DESCRIÇÃO/ESPECIFICAÇÃO</w:t>
            </w:r>
          </w:p>
        </w:tc>
        <w:tc>
          <w:tcPr>
            <w:tcW w:w="812"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CATMAT</w:t>
            </w:r>
          </w:p>
        </w:tc>
        <w:tc>
          <w:tcPr>
            <w:tcW w:w="98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UNIDADE</w:t>
            </w:r>
          </w:p>
        </w:tc>
        <w:tc>
          <w:tcPr>
            <w:tcW w:w="100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QTD</w:t>
            </w:r>
          </w:p>
        </w:tc>
        <w:tc>
          <w:tcPr>
            <w:tcW w:w="1003"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R$ UNIT</w:t>
            </w:r>
          </w:p>
        </w:tc>
        <w:tc>
          <w:tcPr>
            <w:tcW w:w="998"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R$ TOTAL</w:t>
            </w:r>
          </w:p>
        </w:tc>
      </w:tr>
      <w:tr>
        <w:trPr/>
        <w:tc>
          <w:tcPr>
            <w:tcW w:w="529" w:type="dxa"/>
            <w:tcBorders>
              <w:left w:val="single" w:sz="2" w:space="0" w:color="000001"/>
              <w:bottom w:val="single" w:sz="2" w:space="0" w:color="000001"/>
            </w:tcBorders>
            <w:vAlign w:val="center"/>
          </w:tcPr>
          <w:p>
            <w:pPr>
              <w:pStyle w:val="Contedodatabela"/>
              <w:widowControl w:val="false"/>
              <w:jc w:val="center"/>
              <w:rPr>
                <w:color w:val="C9211E"/>
                <w:sz w:val="20"/>
                <w:szCs w:val="20"/>
              </w:rPr>
            </w:pPr>
            <w:r>
              <w:rPr>
                <w:rFonts w:cs="Calibri" w:ascii="Calibri" w:hAnsi="Calibri"/>
                <w:color w:val="C9211E"/>
                <w:sz w:val="20"/>
                <w:szCs w:val="20"/>
              </w:rPr>
              <w:t>01</w:t>
            </w:r>
          </w:p>
        </w:tc>
        <w:tc>
          <w:tcPr>
            <w:tcW w:w="4429" w:type="dxa"/>
            <w:tcBorders>
              <w:left w:val="single" w:sz="2" w:space="0" w:color="000001"/>
              <w:bottom w:val="single" w:sz="2" w:space="0" w:color="000001"/>
            </w:tcBorders>
            <w:vAlign w:val="center"/>
          </w:tcPr>
          <w:p>
            <w:pPr>
              <w:pStyle w:val="Contedodatabela"/>
              <w:widowControl w:val="false"/>
              <w:jc w:val="both"/>
              <w:rPr>
                <w:rFonts w:ascii="Calibri" w:hAnsi="Calibri"/>
                <w:color w:val="C9211E"/>
                <w:sz w:val="20"/>
                <w:szCs w:val="20"/>
              </w:rPr>
            </w:pPr>
            <w:r>
              <w:rPr>
                <w:rFonts w:ascii="Calibri" w:hAnsi="Calibri"/>
                <w:color w:val="C9211E"/>
                <w:sz w:val="20"/>
                <w:szCs w:val="20"/>
              </w:rPr>
              <w:t>Descrição detalhada do item.</w:t>
            </w:r>
          </w:p>
          <w:p>
            <w:pPr>
              <w:pStyle w:val="Contedodatabela"/>
              <w:widowControl w:val="false"/>
              <w:jc w:val="both"/>
              <w:rPr>
                <w:rFonts w:ascii="Calibri" w:hAnsi="Calibri"/>
                <w:color w:val="C9211E"/>
                <w:sz w:val="20"/>
                <w:szCs w:val="20"/>
              </w:rPr>
            </w:pPr>
            <w:r>
              <w:rPr>
                <w:rFonts w:ascii="Calibri" w:hAnsi="Calibri"/>
                <w:color w:val="C9211E"/>
                <w:sz w:val="20"/>
                <w:szCs w:val="20"/>
              </w:rPr>
              <w:t>Similar à (Marca/modelo de referência) ou de melhor qualidade</w:t>
            </w:r>
          </w:p>
        </w:tc>
        <w:tc>
          <w:tcPr>
            <w:tcW w:w="812"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t>0</w:t>
            </w:r>
            <w:r>
              <w:rPr>
                <w:rFonts w:cs="Calibri" w:ascii="Calibri" w:hAnsi="Calibri" w:asciiTheme="minorHAnsi" w:cstheme="minorHAnsi" w:hAnsiTheme="minorHAnsi"/>
                <w:color w:val="C9211E"/>
                <w:sz w:val="20"/>
                <w:szCs w:val="20"/>
              </w:rPr>
              <w:t>00000</w:t>
            </w:r>
          </w:p>
        </w:tc>
        <w:tc>
          <w:tcPr>
            <w:tcW w:w="980"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cs="Calibri" w:ascii="Calibri" w:hAnsi="Calibri"/>
                <w:color w:val="C9211E"/>
                <w:sz w:val="20"/>
                <w:szCs w:val="20"/>
              </w:rPr>
              <w:t>Unidade</w:t>
            </w:r>
          </w:p>
        </w:tc>
        <w:tc>
          <w:tcPr>
            <w:tcW w:w="1000"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t>00</w:t>
            </w:r>
            <w:commentRangeEnd w:id="2"/>
            <w:r>
              <w:commentReference w:id="2"/>
            </w:r>
            <w:r>
              <w:rPr>
                <w:rFonts w:ascii="Calibri" w:hAnsi="Calibri"/>
                <w:color w:val="C9211E"/>
                <w:sz w:val="20"/>
                <w:szCs w:val="20"/>
              </w:rPr>
            </w:r>
          </w:p>
        </w:tc>
        <w:tc>
          <w:tcPr>
            <w:tcW w:w="1003"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r>
          </w:p>
        </w:tc>
        <w:tc>
          <w:tcPr>
            <w:tcW w:w="998" w:type="dxa"/>
            <w:tcBorders>
              <w:left w:val="single" w:sz="2" w:space="0" w:color="000001"/>
              <w:bottom w:val="single" w:sz="2" w:space="0" w:color="000001"/>
              <w:right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r>
          </w:p>
        </w:tc>
      </w:tr>
    </w:tbl>
    <w:p>
      <w:pPr>
        <w:pStyle w:val="Normal"/>
        <w:jc w:val="both"/>
        <w:rPr>
          <w:rFonts w:ascii="Calibri" w:hAnsi="Calibri" w:cs="Calibri"/>
          <w:color w:val="00000A"/>
        </w:rPr>
      </w:pPr>
      <w:r>
        <w:rPr>
          <w:rFonts w:cs="Calibri" w:ascii="Calibri" w:hAnsi="Calibri"/>
          <w:color w:val="00000A"/>
        </w:rPr>
      </w:r>
    </w:p>
    <w:p>
      <w:pPr>
        <w:pStyle w:val="Normal"/>
        <w:jc w:val="both"/>
        <w:rPr>
          <w:rFonts w:ascii="Calibri" w:hAnsi="Calibri" w:cs="Calibri"/>
          <w:color w:val="C9211E"/>
        </w:rPr>
      </w:pPr>
      <w:r>
        <w:rPr>
          <w:rFonts w:cs="Calibri" w:ascii="Calibri" w:hAnsi="Calibri"/>
          <w:color w:val="C9211E"/>
        </w:rPr>
        <w:t>Em caso de dispensa eletrônica por grupo utilizar o modelo abaixo</w:t>
      </w:r>
    </w:p>
    <w:p>
      <w:pPr>
        <w:pStyle w:val="Normal"/>
        <w:jc w:val="both"/>
        <w:rPr>
          <w:rFonts w:ascii="Calibri" w:hAnsi="Calibri" w:cs="Calibri"/>
          <w:color w:val="00000A"/>
        </w:rPr>
      </w:pPr>
      <w:r>
        <w:rPr>
          <w:rFonts w:cs="Calibri" w:ascii="Calibri" w:hAnsi="Calibri"/>
          <w:color w:val="00000A"/>
        </w:rPr>
      </w:r>
    </w:p>
    <w:tbl>
      <w:tblPr>
        <w:tblW w:w="9752" w:type="dxa"/>
        <w:jc w:val="center"/>
        <w:tblInd w:w="0" w:type="dxa"/>
        <w:tblLayout w:type="fixed"/>
        <w:tblCellMar>
          <w:top w:w="55" w:type="dxa"/>
          <w:left w:w="12" w:type="dxa"/>
          <w:bottom w:w="55" w:type="dxa"/>
          <w:right w:w="55" w:type="dxa"/>
        </w:tblCellMar>
        <w:tblLook w:firstRow="1" w:noVBand="1" w:lastRow="0" w:firstColumn="1" w:lastColumn="0" w:noHBand="0" w:val="04a0"/>
      </w:tblPr>
      <w:tblGrid>
        <w:gridCol w:w="529"/>
        <w:gridCol w:w="4429"/>
        <w:gridCol w:w="812"/>
        <w:gridCol w:w="980"/>
        <w:gridCol w:w="1000"/>
        <w:gridCol w:w="1003"/>
        <w:gridCol w:w="998"/>
      </w:tblGrid>
      <w:tr>
        <w:trPr/>
        <w:tc>
          <w:tcPr>
            <w:tcW w:w="529"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ITEM</w:t>
            </w:r>
          </w:p>
        </w:tc>
        <w:tc>
          <w:tcPr>
            <w:tcW w:w="4429"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DESCRIÇÃO/ESPECIFICAÇÃO</w:t>
            </w:r>
          </w:p>
        </w:tc>
        <w:tc>
          <w:tcPr>
            <w:tcW w:w="812"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CATMAT</w:t>
            </w:r>
          </w:p>
        </w:tc>
        <w:tc>
          <w:tcPr>
            <w:tcW w:w="98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UNIDADE</w:t>
            </w:r>
          </w:p>
        </w:tc>
        <w:tc>
          <w:tcPr>
            <w:tcW w:w="100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QTD</w:t>
            </w:r>
          </w:p>
        </w:tc>
        <w:tc>
          <w:tcPr>
            <w:tcW w:w="1003"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R$ UNIT</w:t>
            </w:r>
          </w:p>
        </w:tc>
        <w:tc>
          <w:tcPr>
            <w:tcW w:w="998"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R$ TOTAL</w:t>
            </w:r>
          </w:p>
        </w:tc>
      </w:tr>
      <w:tr>
        <w:trPr/>
        <w:tc>
          <w:tcPr>
            <w:tcW w:w="529" w:type="dxa"/>
            <w:tcBorders>
              <w:left w:val="single" w:sz="2" w:space="0" w:color="000001"/>
              <w:bottom w:val="single" w:sz="2" w:space="0" w:color="000001"/>
            </w:tcBorders>
            <w:vAlign w:val="center"/>
          </w:tcPr>
          <w:p>
            <w:pPr>
              <w:pStyle w:val="Contedodatabela"/>
              <w:widowControl w:val="false"/>
              <w:jc w:val="center"/>
              <w:rPr>
                <w:color w:val="C9211E"/>
                <w:sz w:val="20"/>
                <w:szCs w:val="20"/>
              </w:rPr>
            </w:pPr>
            <w:r>
              <w:rPr>
                <w:rFonts w:cs="Calibri" w:ascii="Calibri" w:hAnsi="Calibri"/>
                <w:color w:val="C9211E"/>
                <w:sz w:val="20"/>
                <w:szCs w:val="20"/>
              </w:rPr>
              <w:t>01</w:t>
            </w:r>
          </w:p>
        </w:tc>
        <w:tc>
          <w:tcPr>
            <w:tcW w:w="4429" w:type="dxa"/>
            <w:tcBorders>
              <w:left w:val="single" w:sz="2" w:space="0" w:color="000001"/>
              <w:bottom w:val="single" w:sz="2" w:space="0" w:color="000001"/>
            </w:tcBorders>
            <w:vAlign w:val="center"/>
          </w:tcPr>
          <w:p>
            <w:pPr>
              <w:pStyle w:val="Contedodatabela"/>
              <w:widowControl w:val="false"/>
              <w:jc w:val="both"/>
              <w:rPr>
                <w:rFonts w:ascii="Calibri" w:hAnsi="Calibri"/>
                <w:color w:val="C9211E"/>
                <w:sz w:val="20"/>
                <w:szCs w:val="20"/>
              </w:rPr>
            </w:pPr>
            <w:r>
              <w:rPr>
                <w:rFonts w:ascii="Calibri" w:hAnsi="Calibri"/>
                <w:color w:val="C9211E"/>
                <w:sz w:val="20"/>
                <w:szCs w:val="20"/>
              </w:rPr>
              <w:t>Grupo composto por xxx itens de materiais de xxxx, conforme descrito planilha de custo e formação de preços conforme anexo I.</w:t>
            </w:r>
          </w:p>
        </w:tc>
        <w:tc>
          <w:tcPr>
            <w:tcW w:w="812"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t>0</w:t>
            </w:r>
            <w:r>
              <w:rPr>
                <w:rFonts w:cs="Calibri" w:ascii="Calibri" w:hAnsi="Calibri" w:asciiTheme="minorHAnsi" w:cstheme="minorHAnsi" w:hAnsiTheme="minorHAnsi"/>
                <w:color w:val="C9211E"/>
                <w:sz w:val="20"/>
                <w:szCs w:val="20"/>
              </w:rPr>
              <w:t>00000</w:t>
            </w:r>
          </w:p>
        </w:tc>
        <w:tc>
          <w:tcPr>
            <w:tcW w:w="980"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cs="Calibri" w:ascii="Calibri" w:hAnsi="Calibri"/>
                <w:color w:val="C9211E"/>
                <w:sz w:val="20"/>
                <w:szCs w:val="20"/>
              </w:rPr>
              <w:t>Unidade</w:t>
            </w:r>
          </w:p>
        </w:tc>
        <w:tc>
          <w:tcPr>
            <w:tcW w:w="1000"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t>00</w:t>
            </w:r>
            <w:r>
              <w:rPr/>
              <w:commentReference w:id="3"/>
            </w:r>
          </w:p>
        </w:tc>
        <w:tc>
          <w:tcPr>
            <w:tcW w:w="1003"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r>
          </w:p>
        </w:tc>
        <w:tc>
          <w:tcPr>
            <w:tcW w:w="998" w:type="dxa"/>
            <w:tcBorders>
              <w:left w:val="single" w:sz="2" w:space="0" w:color="000001"/>
              <w:bottom w:val="single" w:sz="2" w:space="0" w:color="000001"/>
              <w:right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r>
          </w:p>
        </w:tc>
      </w:tr>
    </w:tbl>
    <w:p>
      <w:pPr>
        <w:pStyle w:val="Normal"/>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00000A"/>
        </w:rPr>
      </w:pPr>
      <w:r>
        <w:rPr>
          <w:rFonts w:cs="Calibri" w:ascii="Calibri" w:hAnsi="Calibri"/>
          <w:color w:val="00000A"/>
        </w:rPr>
        <w:t>Havendo eventual divergência entre o CATMAT e a descrição/especificação dos itens, prevalecerão estas últimas.</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00000A"/>
        </w:rPr>
      </w:pPr>
      <w:r>
        <w:rPr>
          <w:rFonts w:cs="Calibri" w:ascii="Calibri" w:hAnsi="Calibri"/>
          <w:color w:val="00000A"/>
        </w:rPr>
        <w:t>O objeto desta contratação não se enquadra como sendo de bem de luxo, conforme Decreto nº 10.818, de 2021.</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color w:val="C9211E"/>
        </w:rPr>
      </w:pPr>
      <w:commentRangeStart w:id="4"/>
      <w:r>
        <w:rPr>
          <w:rFonts w:cs="Calibri" w:ascii="Calibri" w:hAnsi="Calibri"/>
          <w:color w:val="C9211E"/>
        </w:rPr>
        <w:t>Para a presente contratação, o Termo de Contrato será substituído por instrumento equivalente nos termos do Art. 95, Inc. I da Lei 14.133 de 2021, o qual vinculará as partes a este Termo de Referência e à Proposta da Contratada.</w:t>
      </w:r>
      <w:commentRangeEnd w:id="4"/>
      <w:r>
        <w:commentReference w:id="4"/>
      </w:r>
      <w:r>
        <w:rPr>
          <w:rFonts w:cs="Calibri" w:ascii="Calibri" w:hAnsi="Calibri"/>
          <w:color w:val="C9211E"/>
        </w:rPr>
      </w:r>
    </w:p>
    <w:p>
      <w:pPr>
        <w:pStyle w:val="Normal"/>
        <w:ind w:left="794" w:hanging="0"/>
        <w:jc w:val="both"/>
        <w:rPr>
          <w:rFonts w:ascii="Calibri" w:hAnsi="Calibri" w:cs="Calibri"/>
          <w:color w:val="00000A"/>
        </w:rPr>
      </w:pPr>
      <w:r>
        <w:rPr>
          <w:rFonts w:cs="Calibri" w:ascii="Calibri" w:hAnsi="Calibri"/>
          <w:color w:val="00000A"/>
        </w:rPr>
      </w:r>
    </w:p>
    <w:p>
      <w:pPr>
        <w:pStyle w:val="Normal"/>
        <w:jc w:val="both"/>
        <w:rPr>
          <w:color w:val="C9211E"/>
        </w:rPr>
      </w:pPr>
      <w:r>
        <w:rPr>
          <w:rFonts w:cs="Calibri" w:ascii="Calibri" w:hAnsi="Calibri"/>
          <w:color w:val="C9211E"/>
        </w:rPr>
        <w:t>ou</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00000A"/>
        </w:rPr>
      </w:pPr>
      <w:commentRangeStart w:id="5"/>
      <w:r>
        <w:rPr>
          <w:rFonts w:cs="Calibri" w:ascii="Calibri" w:hAnsi="Calibri"/>
          <w:color w:val="00000A"/>
        </w:rPr>
        <w:t xml:space="preserve">O prazo de vigência da contratação é de </w:t>
      </w:r>
      <w:r>
        <w:rPr>
          <w:rFonts w:cs="Calibri" w:ascii="Calibri" w:hAnsi="Calibri"/>
          <w:color w:val="C9211E"/>
        </w:rPr>
        <w:t>xx meses/dias/anos</w:t>
      </w:r>
      <w:r>
        <w:rPr>
          <w:rFonts w:cs="Calibri" w:ascii="Calibri" w:hAnsi="Calibri"/>
          <w:color w:val="00000A"/>
        </w:rPr>
        <w:t xml:space="preserve"> contados do(a) </w:t>
      </w:r>
      <w:r>
        <w:rPr>
          <w:rFonts w:cs="Calibri" w:ascii="Calibri" w:hAnsi="Calibri"/>
          <w:color w:val="C9211E"/>
        </w:rPr>
        <w:t>apresentação da proposta/assinatura do contrato/envio da Nota de Empenho</w:t>
      </w:r>
      <w:r>
        <w:rPr>
          <w:rFonts w:cs="Calibri" w:ascii="Calibri" w:hAnsi="Calibri"/>
          <w:color w:val="00000A"/>
        </w:rPr>
        <w:t>, na forma do artigo 105 da Lei n° 14.133/2021.</w:t>
      </w:r>
      <w:commentRangeEnd w:id="5"/>
      <w:r>
        <w:commentReference w:id="5"/>
      </w:r>
      <w:r>
        <w:rPr>
          <w:rFonts w:cs="Calibri" w:ascii="Calibri" w:hAnsi="Calibri"/>
          <w:color w:val="00000A"/>
        </w:rPr>
      </w:r>
    </w:p>
    <w:p>
      <w:pPr>
        <w:pStyle w:val="Normal"/>
        <w:jc w:val="both"/>
        <w:rPr>
          <w:rFonts w:ascii="Calibri" w:hAnsi="Calibri" w:cs="Calibri"/>
          <w:color w:val="00000A"/>
        </w:rPr>
      </w:pPr>
      <w:r>
        <w:rPr>
          <w:rFonts w:cs="Calibri" w:ascii="Calibri" w:hAnsi="Calibri"/>
          <w:color w:val="00000A"/>
        </w:rPr>
      </w:r>
    </w:p>
    <w:p>
      <w:pPr>
        <w:pStyle w:val="Normal"/>
        <w:jc w:val="both"/>
        <w:rPr>
          <w:color w:val="C9211E"/>
        </w:rPr>
      </w:pPr>
      <w:r>
        <w:rPr>
          <w:rFonts w:cs="Calibri" w:ascii="Calibri" w:hAnsi="Calibri"/>
          <w:color w:val="C9211E"/>
        </w:rPr>
        <w:t>ou</w:t>
      </w:r>
    </w:p>
    <w:p>
      <w:pPr>
        <w:pStyle w:val="Normal"/>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color w:val="C9211E"/>
        </w:rPr>
      </w:pPr>
      <w:commentRangeStart w:id="6"/>
      <w:r>
        <w:rPr>
          <w:rFonts w:cs="Calibri" w:ascii="Calibri" w:hAnsi="Calibri"/>
          <w:color w:val="C9211E"/>
        </w:rPr>
        <w:t>O prazo de vigência da contratação é de xx anos (máximo de 5 anos) contados do(a) apresentação da proposta/assinatura do contrato/envio da Nota de Empenho, prorrogável por até 10 anos, na forma dos artigos 106 e 107 da Lei n° 14.133/2021.</w:t>
      </w:r>
    </w:p>
    <w:p>
      <w:pPr>
        <w:pStyle w:val="Normal"/>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asciiTheme="minorHAnsi" w:cstheme="minorHAnsi" w:hAnsiTheme="minorHAnsi"/>
          <w:color w:val="C9211E"/>
        </w:rPr>
      </w:pPr>
      <w:r>
        <w:rPr>
          <w:rFonts w:cs="Calibri" w:ascii="Calibri" w:hAnsi="Calibri" w:cstheme="minorHAnsi"/>
          <w:color w:val="C9211E"/>
        </w:rPr>
        <w:t>O fornecimento de bens é enquadrado como continuado, tendo em vista que [...], sendo a vigência plurianual mais vantajosa considerando [...] OU o Estudo Técnico Preliminar OU os termos da Nota Técnica .../...;</w:t>
      </w:r>
      <w:commentRangeEnd w:id="6"/>
      <w:r>
        <w:commentReference w:id="6"/>
      </w:r>
      <w:r>
        <w:rPr>
          <w:rFonts w:cs="Calibri" w:ascii="Calibri" w:hAnsi="Calibri" w:cstheme="minorHAnsi"/>
          <w:color w:val="C9211E"/>
        </w:rPr>
      </w:r>
    </w:p>
    <w:p>
      <w:pPr>
        <w:pStyle w:val="Normal"/>
        <w:jc w:val="both"/>
        <w:rPr>
          <w:color w:val="C9211E"/>
        </w:rPr>
      </w:pPr>
      <w:r>
        <w:rPr>
          <w:rFonts w:cs="Calibri" w:ascii="Calibri" w:hAnsi="Calibri"/>
          <w:color w:val="C9211E"/>
        </w:rPr>
        <w:t>ou</w:t>
      </w:r>
    </w:p>
    <w:p>
      <w:pPr>
        <w:pStyle w:val="Normal"/>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color w:val="C9211E"/>
        </w:rPr>
      </w:pPr>
      <w:commentRangeStart w:id="7"/>
      <w:r>
        <w:rPr>
          <w:rFonts w:cs="Calibri" w:ascii="Calibri" w:hAnsi="Calibri"/>
          <w:color w:val="C9211E"/>
        </w:rPr>
        <w:t>O prazo de vigência da contratação é de xx dias/anos (máximo de um ano da ocorrência da emergência ou calamidade) contados do(a) apresentação da proposta/assinatura do contrato/envio da Nota de Empenho, improrrogável, na forma do art. 75, VIII da Lei n° 14.133/2021.</w:t>
      </w:r>
      <w:commentRangeEnd w:id="7"/>
      <w:r>
        <w:commentReference w:id="7"/>
      </w:r>
      <w:r>
        <w:rPr>
          <w:rFonts w:cs="Calibri" w:ascii="Calibri" w:hAnsi="Calibri"/>
          <w:color w:val="C9211E"/>
        </w:rPr>
      </w:r>
    </w:p>
    <w:p>
      <w:pPr>
        <w:pStyle w:val="Normal"/>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00000A"/>
        </w:rPr>
      </w:pPr>
      <w:r>
        <w:rPr>
          <w:rFonts w:cs="Calibri" w:ascii="Calibri" w:hAnsi="Calibri"/>
          <w:color w:val="00000A"/>
        </w:rPr>
        <w:t xml:space="preserve">O custo estimado total da contratação é </w:t>
      </w:r>
      <w:r>
        <w:rPr>
          <w:rFonts w:cs="Calibri" w:ascii="Calibri" w:hAnsi="Calibri"/>
          <w:color w:val="C9211E"/>
        </w:rPr>
        <w:t>de R$... (por extenso)</w:t>
      </w:r>
      <w:r>
        <w:rPr>
          <w:rFonts w:cs="Calibri" w:ascii="Calibri" w:hAnsi="Calibri"/>
          <w:color w:val="00000A"/>
        </w:rPr>
        <w:t xml:space="preserve">, conforme custos unitários apostos </w:t>
      </w:r>
      <w:r>
        <w:rPr>
          <w:rFonts w:cs="Calibri" w:ascii="Calibri" w:hAnsi="Calibri"/>
          <w:color w:val="C9211E"/>
        </w:rPr>
        <w:t>na tabela acima OU em anexo</w:t>
      </w:r>
      <w:r>
        <w:rPr>
          <w:rFonts w:cs="Calibri" w:ascii="Calibri" w:hAnsi="Calibri"/>
          <w:color w:val="00000A"/>
        </w:rPr>
        <w:t>.</w:t>
      </w:r>
    </w:p>
    <w:p>
      <w:pPr>
        <w:pStyle w:val="Normal"/>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00000A"/>
        </w:rPr>
      </w:pPr>
      <w:r>
        <w:rPr>
          <w:rFonts w:cs="Calibri" w:ascii="Calibri" w:hAnsi="Calibri"/>
          <w:color w:val="00000A"/>
        </w:rPr>
        <w:t>A aquisição dos objetos desta dispensa eletrônica será adjudicada por item.</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C9211E"/>
        </w:rPr>
      </w:pPr>
      <w:r>
        <w:rPr>
          <w:rFonts w:cs="Calibri" w:ascii="Calibri" w:hAnsi="Calibri"/>
          <w:color w:val="C9211E"/>
        </w:rPr>
        <w:t>A aq</w:t>
      </w:r>
      <w:commentRangeStart w:id="8"/>
      <w:r>
        <w:rPr>
          <w:rFonts w:cs="Calibri" w:ascii="Calibri" w:hAnsi="Calibri"/>
          <w:color w:val="C9211E"/>
        </w:rPr>
        <w:t>uisição dos objetos desta dispensa eletrônica será adjudicada em grupo único, representado pelo item disponibilizado, sendo composto por xx (por_extenso) itens, conforme a planilha de custo e formação de preço anexo I.</w:t>
      </w:r>
    </w:p>
    <w:p>
      <w:pPr>
        <w:pStyle w:val="Normal"/>
        <w:suppressAutoHyphens w:val="false"/>
        <w:ind w:left="794" w:hanging="0"/>
        <w:jc w:val="both"/>
        <w:rPr>
          <w:rFonts w:ascii="Calibri" w:hAnsi="Calibri"/>
          <w:color w:val="C9211E"/>
        </w:rPr>
      </w:pPr>
      <w:r>
        <w:rPr>
          <w:rFonts w:ascii="Calibri" w:hAnsi="Calibri"/>
          <w:color w:val="C9211E"/>
        </w:rPr>
      </w:r>
    </w:p>
    <w:p>
      <w:pPr>
        <w:pStyle w:val="Normal"/>
        <w:numPr>
          <w:ilvl w:val="2"/>
          <w:numId w:val="1"/>
        </w:numPr>
        <w:suppressAutoHyphens w:val="false"/>
        <w:ind w:left="794" w:hanging="0"/>
        <w:jc w:val="both"/>
        <w:rPr>
          <w:color w:val="C9211E"/>
        </w:rPr>
      </w:pPr>
      <w:r>
        <w:rPr>
          <w:rFonts w:cs="Calibri" w:ascii="Calibri" w:hAnsi="Calibri" w:asciiTheme="minorHAnsi" w:cstheme="minorHAnsi" w:hAnsiTheme="minorHAnsi"/>
          <w:color w:val="C9211E"/>
        </w:rPr>
        <w:t>Os itens que foram agrupados são da mesma natureza e guardam relação entre si, sendo vendidos por diversos fornecedores. Os materiais do referido grupo possuem, por item, baixo valor global e há diversos fornecedores no ramo. Logo, a classificação das propostas pelo critério de menor valor global por grupo estimulará a participação de várias empresas, além de possibilitar a ampliação da competitividade e ganho na economia de escala. Ademais, a utilização do referido critério evitará descompassos na rotina de atividades do Cremerj, que poderia ser afetada por eventuais problemas no fornecimento dos materiais por diferentes empresas, indo ao encontro dos princípios da economicidade, eficácia e eficiência;</w:t>
      </w:r>
    </w:p>
    <w:p>
      <w:pPr>
        <w:pStyle w:val="Normal"/>
        <w:suppressAutoHyphens w:val="false"/>
        <w:ind w:left="1587" w:hanging="0"/>
        <w:jc w:val="both"/>
        <w:rPr>
          <w:rFonts w:ascii="Calibri" w:hAnsi="Calibri"/>
          <w:color w:val="C9211E"/>
        </w:rPr>
      </w:pPr>
      <w:r>
        <w:rPr>
          <w:rFonts w:ascii="Calibri" w:hAnsi="Calibri"/>
          <w:color w:val="C9211E"/>
        </w:rPr>
      </w:r>
    </w:p>
    <w:p>
      <w:pPr>
        <w:pStyle w:val="Normal"/>
        <w:numPr>
          <w:ilvl w:val="2"/>
          <w:numId w:val="1"/>
        </w:numPr>
        <w:suppressAutoHyphens w:val="false"/>
        <w:ind w:left="794" w:hanging="0"/>
        <w:jc w:val="both"/>
        <w:rPr>
          <w:rFonts w:ascii="Calibri" w:hAnsi="Calibri" w:cs="Calibri" w:asciiTheme="minorHAnsi" w:cstheme="minorHAnsi" w:hAnsiTheme="minorHAnsi"/>
          <w:color w:val="C9211E"/>
        </w:rPr>
      </w:pPr>
      <w:r>
        <w:rPr>
          <w:rFonts w:cs="Calibri" w:ascii="Calibri" w:hAnsi="Calibri" w:cstheme="minorHAnsi"/>
          <w:color w:val="C9211E"/>
        </w:rPr>
        <w:t>O CATMAT acima apresentado é referente ao item 1 da planilha de custos e formação de preços e deverá o fornecedor apresentar a proposta em conjunto com a planilha de custos e formação de preços para todos os itens da planilha, informando o preço unitário e total de cada item, assim como o valor global.</w:t>
      </w:r>
      <w:commentRangeEnd w:id="8"/>
      <w:r>
        <w:commentReference w:id="8"/>
      </w:r>
      <w:r>
        <w:rPr>
          <w:rFonts w:cs="Calibri" w:ascii="Calibri" w:hAnsi="Calibri" w:cstheme="minorHAnsi"/>
          <w:color w:val="C9211E"/>
        </w:rPr>
      </w:r>
    </w:p>
    <w:p>
      <w:pPr>
        <w:pStyle w:val="Normal"/>
        <w:jc w:val="both"/>
        <w:rPr>
          <w:rFonts w:ascii="Calibri" w:hAnsi="Calibri" w:cs="Calibri"/>
          <w:color w:val="00000A"/>
        </w:rPr>
      </w:pPr>
      <w:r>
        <w:rPr>
          <w:rFonts w:cs="Calibri" w:ascii="Calibri" w:hAnsi="Calibri"/>
          <w:color w:val="00000A"/>
        </w:rPr>
      </w:r>
    </w:p>
    <w:p>
      <w:pPr>
        <w:pStyle w:val="Normal"/>
        <w:numPr>
          <w:ilvl w:val="0"/>
          <w:numId w:val="1"/>
        </w:numPr>
        <w:shd w:val="clear" w:color="auto" w:fill="38AB81"/>
        <w:jc w:val="both"/>
        <w:rPr>
          <w:rFonts w:ascii="Calibri" w:hAnsi="Calibri"/>
        </w:rPr>
      </w:pPr>
      <w:r>
        <w:rPr>
          <w:rFonts w:cs="Calibri" w:ascii="Calibri" w:hAnsi="Calibri"/>
          <w:b/>
          <w:bCs/>
          <w:color w:val="FFFFFF"/>
        </w:rPr>
        <w:t xml:space="preserve">FUNDAMENTAÇÃO E DESCRIÇÃO DA NECESSIDADE DA CONTRATAÇÃO (art. 6º, inciso XXIII, alínea ‘b’, da Lei nº 14.133/2021). </w:t>
      </w:r>
    </w:p>
    <w:p>
      <w:pPr>
        <w:pStyle w:val="Normal"/>
        <w:ind w:left="737" w:hanging="737"/>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C9211E"/>
        </w:rPr>
      </w:pPr>
      <w:r>
        <w:rPr>
          <w:rFonts w:cs="Calibri" w:ascii="Calibri" w:hAnsi="Calibri"/>
          <w:color w:val="C9211E"/>
        </w:rPr>
        <w:t>A Fundamentação da Contratação e de seus quantitativos encontra-se pormenorizada em tópico específico dos Estudos Técnicos Preliminares, apêndice deste Termo de Referência.</w:t>
      </w:r>
    </w:p>
    <w:p>
      <w:pPr>
        <w:pStyle w:val="Normal"/>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rPr>
      </w:pPr>
      <w:r>
        <w:rPr>
          <w:rFonts w:cs="Calibri" w:ascii="Calibri" w:hAnsi="Calibri"/>
          <w:b/>
          <w:bCs/>
          <w:color w:val="FFFFFF"/>
        </w:rPr>
        <w:t>DESCRIÇÃO DA SOLUÇÃO COMO UM TODO,</w:t>
      </w:r>
      <w:bookmarkStart w:id="0" w:name="_GoBack"/>
      <w:bookmarkEnd w:id="0"/>
      <w:r>
        <w:rPr>
          <w:rFonts w:cs="Calibri" w:ascii="Calibri" w:hAnsi="Calibri"/>
          <w:b/>
          <w:bCs/>
          <w:color w:val="FFFFFF"/>
        </w:rPr>
        <w:t xml:space="preserve"> CONSIDERADO O CICLO DE VIDA DO OBJETO E ESPECIFICAÇÃO DO PRODUTO (art. 6º, inciso XXIII, alínea ‘c’, e art. 40, §1º, inciso I, da Lei nº 14.133/2021)</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pPr>
      <w:r>
        <w:rPr>
          <w:rFonts w:cs="Calibri" w:ascii="Calibri" w:hAnsi="Calibri"/>
        </w:rPr>
        <w:t>A descrição da solução como um todo, encontra-se pormenorizada em tópico específico dos Estudos Técnicos Preliminares, apêndice deste Termo de Referência.</w:t>
      </w:r>
    </w:p>
    <w:p>
      <w:pPr>
        <w:pStyle w:val="Normal"/>
        <w:ind w:left="794" w:hanging="0"/>
        <w:jc w:val="both"/>
        <w:rPr>
          <w:rFonts w:ascii="Calibri" w:hAnsi="Calibri" w:cs="Calibri"/>
          <w:color w:val="C9211E"/>
        </w:rPr>
      </w:pPr>
      <w:r>
        <w:rPr>
          <w:rFonts w:cs="Calibri" w:ascii="Calibri" w:hAnsi="Calibri"/>
          <w:color w:val="C9211E"/>
        </w:rPr>
      </w:r>
    </w:p>
    <w:p>
      <w:pPr>
        <w:pStyle w:val="Normal"/>
        <w:ind w:left="794" w:hanging="0"/>
        <w:jc w:val="both"/>
        <w:rPr>
          <w:rFonts w:ascii="Calibri" w:hAnsi="Calibri" w:cs="Calibri"/>
          <w:color w:val="C9211E"/>
        </w:rPr>
      </w:pPr>
      <w:r>
        <w:rPr>
          <w:rFonts w:cs="Calibri" w:ascii="Calibri" w:hAnsi="Calibri"/>
          <w:color w:val="C9211E"/>
        </w:rPr>
      </w:r>
    </w:p>
    <w:p>
      <w:pPr>
        <w:pStyle w:val="Normal"/>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rPr>
      </w:pPr>
      <w:r>
        <w:rPr>
          <w:rFonts w:cs="Calibri" w:ascii="Calibri" w:hAnsi="Calibri"/>
          <w:b/>
          <w:bCs/>
          <w:color w:val="FFFFFF"/>
        </w:rPr>
        <w:t>REQUISITOS DA CONTRATAÇÃO (art. 6º, XXIII, alínea ‘d’, da Lei nº 14.133/21</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pPr>
      <w:r>
        <w:rPr>
          <w:rFonts w:cs="Calibri" w:ascii="Calibri" w:hAnsi="Calibri"/>
        </w:rPr>
        <w:t>A contratação deverá observar os seguintes requisitos:</w:t>
      </w:r>
    </w:p>
    <w:p>
      <w:pPr>
        <w:pStyle w:val="Normal"/>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pPr>
      <w:r>
        <w:rPr>
          <w:rFonts w:cs="Calibri" w:ascii="Calibri" w:hAnsi="Calibri" w:cstheme="minorHAnsi"/>
        </w:rPr>
        <w:t>Sustentabilidade</w:t>
      </w:r>
    </w:p>
    <w:p>
      <w:pPr>
        <w:pStyle w:val="Normal"/>
        <w:suppressAutoHyphens w:val="false"/>
        <w:ind w:left="2381" w:hanging="0"/>
        <w:jc w:val="both"/>
        <w:rPr>
          <w:rFonts w:ascii="Calibri" w:hAnsi="Calibri"/>
        </w:rPr>
      </w:pPr>
      <w:r>
        <w:rPr>
          <w:rFonts w:ascii="Calibri" w:hAnsi="Calibri"/>
        </w:rPr>
      </w:r>
    </w:p>
    <w:p>
      <w:pPr>
        <w:pStyle w:val="Normal"/>
        <w:numPr>
          <w:ilvl w:val="3"/>
          <w:numId w:val="1"/>
        </w:numPr>
        <w:suppressAutoHyphens w:val="false"/>
        <w:ind w:left="1587" w:hanging="0"/>
        <w:jc w:val="both"/>
        <w:rPr>
          <w:rFonts w:ascii="Calibri" w:hAnsi="Calibri"/>
        </w:rPr>
      </w:pPr>
      <w:r>
        <w:rPr>
          <w:rFonts w:ascii="Calibri" w:hAnsi="Calibri"/>
        </w:rPr>
        <w:t>A aquisição do objeto desta dispensa eletrônica obedecerá aos critérios de sustentabilidade ambiental contidos no Art. 5º da Instrução Normativa nº 01, de 19 de janeiro de 2010, da Secretaria de Logística e Tecnologia da Informação do Ministério do Planejamento, Orçamento e Gestão – SLTI/MPOG e no Decreto nº 7.746 de 2012, no que couber;</w:t>
      </w:r>
    </w:p>
    <w:p>
      <w:pPr>
        <w:pStyle w:val="Normal"/>
        <w:numPr>
          <w:ilvl w:val="3"/>
          <w:numId w:val="1"/>
        </w:numPr>
        <w:suppressAutoHyphens w:val="false"/>
        <w:ind w:left="1587" w:hanging="0"/>
        <w:jc w:val="both"/>
        <w:rPr>
          <w:color w:val="FF0000"/>
        </w:rPr>
      </w:pPr>
      <w:r>
        <w:rPr>
          <w:rFonts w:ascii="Calibri" w:hAnsi="Calibri"/>
          <w:color w:val="FF0000"/>
        </w:rPr>
        <w:t>(...)</w:t>
      </w:r>
      <w:r>
        <w:rPr/>
        <w:commentReference w:id="9"/>
      </w:r>
    </w:p>
    <w:p>
      <w:pPr>
        <w:pStyle w:val="Normal"/>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pPr>
      <w:r>
        <w:rPr>
          <w:rFonts w:cs="Calibri" w:ascii="Calibri" w:hAnsi="Calibri" w:cstheme="minorHAnsi"/>
        </w:rPr>
        <w:t>Indicação de marcas ou modelos (Art. 41, inciso I, da Lei nº 14.133/2021):</w:t>
      </w:r>
    </w:p>
    <w:p>
      <w:pPr>
        <w:pStyle w:val="Normal"/>
        <w:ind w:left="794" w:hanging="0"/>
        <w:jc w:val="both"/>
        <w:rPr>
          <w:rFonts w:ascii="Calibri" w:hAnsi="Calibri" w:cs="Calibri"/>
          <w:color w:val="C9211E"/>
        </w:rPr>
      </w:pPr>
      <w:r>
        <w:rPr>
          <w:rFonts w:cs="Calibri" w:ascii="Calibri" w:hAnsi="Calibri"/>
          <w:color w:val="C9211E"/>
        </w:rPr>
      </w:r>
    </w:p>
    <w:p>
      <w:pPr>
        <w:pStyle w:val="Normal"/>
        <w:numPr>
          <w:ilvl w:val="3"/>
          <w:numId w:val="1"/>
        </w:numPr>
        <w:suppressAutoHyphens w:val="false"/>
        <w:ind w:left="1587" w:hanging="0"/>
        <w:jc w:val="both"/>
        <w:rPr/>
      </w:pPr>
      <w:r>
        <w:rPr>
          <w:rFonts w:cs="Calibri" w:ascii="Calibri" w:hAnsi="Calibri"/>
        </w:rPr>
        <w:t>A referência de marca apresentada se justifica na especificação do objeto que atende às necessidades deste Conselho, pois a marca está sendo utilizada apenas como instrumento de identificação. No caso, não há preferência pela marca, mas sim, busca-se facilitar a compreensão da necessidade do Conselho pela identificação de determinada marca ou determinado modelo aptos a servir apenas como referência.</w:t>
      </w:r>
    </w:p>
    <w:p>
      <w:pPr>
        <w:pStyle w:val="Normal"/>
        <w:numPr>
          <w:ilvl w:val="3"/>
          <w:numId w:val="1"/>
        </w:numPr>
        <w:suppressAutoHyphens w:val="false"/>
        <w:ind w:left="1587" w:hanging="0"/>
        <w:jc w:val="both"/>
        <w:rPr>
          <w:color w:val="C9211E"/>
        </w:rPr>
      </w:pPr>
      <w:commentRangeStart w:id="10"/>
      <w:r>
        <w:rPr>
          <w:rFonts w:cs="Calibri" w:ascii="Calibri" w:hAnsi="Calibri"/>
          <w:color w:val="C9211E"/>
        </w:rPr>
        <w:t>Na presente contratação, será admitida a indicação da(s) seguinte(s) marca(s), característica(s) ou modelo(s), de acordo com as justificativas contidas nos Estudos Técnicos Preliminares:</w:t>
      </w:r>
      <w:commentRangeEnd w:id="10"/>
      <w:r>
        <w:commentReference w:id="10"/>
      </w:r>
      <w:r>
        <w:rPr>
          <w:rFonts w:cs="Calibri" w:ascii="Calibri" w:hAnsi="Calibri"/>
          <w:color w:val="C9211E"/>
        </w:rPr>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color w:val="FF0000"/>
        </w:rPr>
      </w:pPr>
      <w:commentRangeStart w:id="11"/>
      <w:r>
        <w:rPr>
          <w:rFonts w:cs="Calibri" w:ascii="Calibri" w:hAnsi="Calibri" w:cstheme="minorHAnsi"/>
          <w:color w:val="FF0000"/>
        </w:rPr>
        <w:t>Da exigência de amostra:</w:t>
      </w:r>
    </w:p>
    <w:p>
      <w:pPr>
        <w:pStyle w:val="Normal"/>
        <w:ind w:left="794" w:hanging="0"/>
        <w:jc w:val="both"/>
        <w:rPr>
          <w:rFonts w:ascii="Calibri" w:hAnsi="Calibri" w:cs="Calibri"/>
          <w:color w:val="C9211E"/>
        </w:rPr>
      </w:pPr>
      <w:r>
        <w:rPr>
          <w:rFonts w:cs="Calibri" w:ascii="Calibri" w:hAnsi="Calibri"/>
          <w:color w:val="C9211E"/>
        </w:rPr>
      </w:r>
    </w:p>
    <w:p>
      <w:pPr>
        <w:pStyle w:val="Normal"/>
        <w:numPr>
          <w:ilvl w:val="3"/>
          <w:numId w:val="1"/>
        </w:numPr>
        <w:suppressAutoHyphens w:val="false"/>
        <w:ind w:left="1587" w:hanging="0"/>
        <w:jc w:val="both"/>
        <w:rPr>
          <w:color w:val="FF0000"/>
        </w:rPr>
      </w:pPr>
      <w:r>
        <w:rPr>
          <w:rFonts w:cs="Calibri" w:ascii="Calibri" w:hAnsi="Calibri"/>
          <w:color w:val="FF0000"/>
        </w:rPr>
        <w:t>Havendo o aceite da proposta quanto ao valor, o interessado classificado provisoriamente em primeiro lugar deverá apresentar amostra, que terá data, local e horário de sua realização divulgados por mensagem no sistema, cuja presença será facultada a todos os interessados, incluindo os demais fornecedores interessados.</w:t>
      </w:r>
    </w:p>
    <w:p>
      <w:pPr>
        <w:pStyle w:val="Normal"/>
        <w:numPr>
          <w:ilvl w:val="3"/>
          <w:numId w:val="1"/>
        </w:numPr>
        <w:suppressAutoHyphens w:val="false"/>
        <w:ind w:left="1587" w:hanging="0"/>
        <w:jc w:val="both"/>
        <w:rPr>
          <w:color w:val="FF0000"/>
        </w:rPr>
      </w:pPr>
      <w:r>
        <w:rPr>
          <w:rFonts w:cs="Calibri" w:ascii="Calibri" w:hAnsi="Calibri"/>
          <w:color w:val="FF0000"/>
        </w:rPr>
        <w:t>Serão exigidas amostras dos seguintes itens:</w:t>
      </w:r>
    </w:p>
    <w:p>
      <w:pPr>
        <w:pStyle w:val="Normal"/>
        <w:numPr>
          <w:ilvl w:val="0"/>
          <w:numId w:val="5"/>
        </w:numPr>
        <w:suppressAutoHyphens w:val="false"/>
        <w:ind w:left="2891" w:hanging="0"/>
        <w:jc w:val="both"/>
        <w:rPr>
          <w:rFonts w:ascii="Calibri" w:hAnsi="Calibri" w:cs="Calibri"/>
        </w:rPr>
      </w:pPr>
      <w:r>
        <w:rPr>
          <w:rFonts w:cs="Calibri" w:ascii="Calibri" w:hAnsi="Calibri"/>
        </w:rPr>
      </w:r>
    </w:p>
    <w:p>
      <w:pPr>
        <w:pStyle w:val="Normal"/>
        <w:numPr>
          <w:ilvl w:val="3"/>
          <w:numId w:val="1"/>
        </w:numPr>
        <w:suppressAutoHyphens w:val="false"/>
        <w:ind w:left="1587" w:hanging="0"/>
        <w:jc w:val="both"/>
        <w:rPr>
          <w:color w:val="FF0000"/>
        </w:rPr>
      </w:pPr>
      <w:r>
        <w:rPr>
          <w:rFonts w:cs="Calibri" w:ascii="Calibri" w:hAnsi="Calibri"/>
          <w:color w:val="FF0000"/>
        </w:rPr>
        <w:t>As amostras poderão ser entregues no endereço: Praia de Botafogo, 228, Sala 119b, Botafogo – Rio de Janeiro, RJ – CEP: 22.250-145, no prazo limite de xx (por_extenso) dias úteis, sendo que a empresa assume total responsabilidade pelo envio e por eventual atraso na entrega.</w:t>
      </w:r>
    </w:p>
    <w:p>
      <w:pPr>
        <w:pStyle w:val="Normal"/>
        <w:numPr>
          <w:ilvl w:val="3"/>
          <w:numId w:val="1"/>
        </w:numPr>
        <w:suppressAutoHyphens w:val="false"/>
        <w:ind w:left="1587" w:hanging="0"/>
        <w:jc w:val="both"/>
        <w:rPr>
          <w:color w:val="FF0000"/>
        </w:rPr>
      </w:pPr>
      <w:r>
        <w:rPr>
          <w:rFonts w:cs="Calibri" w:ascii="Calibri" w:hAnsi="Calibri"/>
          <w:color w:val="FF0000"/>
        </w:rPr>
        <w:t>É facultada a prorrogação do prazo estabelecido, a partir de solicitação fundamentada no chat pelo interessado, antes de findo o prazo.</w:t>
      </w:r>
    </w:p>
    <w:p>
      <w:pPr>
        <w:pStyle w:val="Normal"/>
        <w:numPr>
          <w:ilvl w:val="3"/>
          <w:numId w:val="1"/>
        </w:numPr>
        <w:suppressAutoHyphens w:val="false"/>
        <w:ind w:left="1587" w:hanging="0"/>
        <w:jc w:val="both"/>
        <w:rPr>
          <w:color w:val="FF0000"/>
        </w:rPr>
      </w:pPr>
      <w:r>
        <w:rPr>
          <w:rFonts w:cs="Calibri" w:ascii="Calibri" w:hAnsi="Calibri"/>
          <w:color w:val="FF0000"/>
        </w:rPr>
        <w:t>No caso de não haver entrega da amostra ou ocorrer atraso na entrega, sem justificativa aceita, ou havendo entrega de amostra fora das especificações previstas, a proposta será recusada.</w:t>
      </w:r>
    </w:p>
    <w:p>
      <w:pPr>
        <w:pStyle w:val="Normal"/>
        <w:numPr>
          <w:ilvl w:val="3"/>
          <w:numId w:val="1"/>
        </w:numPr>
        <w:suppressAutoHyphens w:val="false"/>
        <w:ind w:left="1587" w:hanging="0"/>
        <w:jc w:val="both"/>
        <w:rPr>
          <w:rFonts w:ascii="Calibri" w:hAnsi="Calibri"/>
        </w:rPr>
      </w:pPr>
      <w:r>
        <w:rPr>
          <w:rFonts w:cs="Calibri" w:ascii="Calibri" w:hAnsi="Calibri"/>
          <w:color w:val="FF0000"/>
        </w:rPr>
        <w:t>Serão avaliados os seguintes aspectos e padrões mínimos de aceitabilidade:</w:t>
      </w:r>
    </w:p>
    <w:p>
      <w:pPr>
        <w:pStyle w:val="ListParagraph"/>
        <w:numPr>
          <w:ilvl w:val="4"/>
          <w:numId w:val="1"/>
        </w:numPr>
        <w:spacing w:lineRule="auto" w:line="276"/>
        <w:ind w:left="2977" w:hanging="360"/>
        <w:jc w:val="both"/>
        <w:rPr>
          <w:rFonts w:ascii="Calibri" w:hAnsi="Calibri"/>
          <w:color w:val="FF0000"/>
        </w:rPr>
      </w:pPr>
      <w:r>
        <w:rPr>
          <w:rFonts w:cs="Arial" w:ascii="Calibri" w:hAnsi="Calibri"/>
          <w:color w:val="FF0000"/>
        </w:rPr>
        <w:t>Itens (....): ...........;</w:t>
      </w:r>
    </w:p>
    <w:p>
      <w:pPr>
        <w:pStyle w:val="ListParagraph"/>
        <w:numPr>
          <w:ilvl w:val="4"/>
          <w:numId w:val="1"/>
        </w:numPr>
        <w:suppressAutoHyphens w:val="false"/>
        <w:spacing w:lineRule="auto" w:line="276"/>
        <w:ind w:left="2977" w:hanging="360"/>
        <w:jc w:val="both"/>
        <w:rPr>
          <w:rFonts w:ascii="Calibri" w:hAnsi="Calibri"/>
          <w:color w:val="FF0000"/>
        </w:rPr>
      </w:pPr>
      <w:r>
        <w:rPr>
          <w:rFonts w:cs="Arial" w:ascii="Calibri" w:hAnsi="Calibri"/>
          <w:color w:val="FF0000"/>
        </w:rPr>
        <w:t>Itens (....): ...........; .</w:t>
      </w:r>
    </w:p>
    <w:p>
      <w:pPr>
        <w:pStyle w:val="Normal"/>
        <w:numPr>
          <w:ilvl w:val="3"/>
          <w:numId w:val="1"/>
        </w:numPr>
        <w:suppressAutoHyphens w:val="false"/>
        <w:ind w:left="1587" w:hanging="0"/>
        <w:jc w:val="both"/>
        <w:rPr>
          <w:color w:val="FF0000"/>
        </w:rPr>
      </w:pPr>
      <w:r>
        <w:rPr>
          <w:rFonts w:cs="Calibri" w:ascii="Calibri" w:hAnsi="Calibri"/>
          <w:color w:val="FF0000"/>
        </w:rPr>
        <w:t>Os resultados das avaliações serão divulgados por meio de mensagem no sistema.</w:t>
      </w:r>
    </w:p>
    <w:p>
      <w:pPr>
        <w:pStyle w:val="Normal"/>
        <w:numPr>
          <w:ilvl w:val="3"/>
          <w:numId w:val="1"/>
        </w:numPr>
        <w:suppressAutoHyphens w:val="false"/>
        <w:ind w:left="1587" w:hanging="0"/>
        <w:jc w:val="both"/>
        <w:rPr>
          <w:color w:val="FF0000"/>
        </w:rPr>
      </w:pPr>
      <w:r>
        <w:rPr>
          <w:rFonts w:cs="Calibri" w:ascii="Calibri" w:hAnsi="Calibri"/>
          <w:color w:val="FF0000"/>
        </w:rPr>
        <w:t>Se a(s) amostra(s) apresentada(s) pelo primeiro classificado não for(em) aceita(s), será analisada a aceitabilidade da proposta ou lance ofertado pelo segundo classificado. Seguir-se-á com a verificação da(s) amostra(s) e, assim, sucessivamente, até a verificação de uma que atenda às especificações constantes neste Termo de Referência.</w:t>
      </w:r>
    </w:p>
    <w:p>
      <w:pPr>
        <w:pStyle w:val="Normal"/>
        <w:numPr>
          <w:ilvl w:val="3"/>
          <w:numId w:val="1"/>
        </w:numPr>
        <w:suppressAutoHyphens w:val="false"/>
        <w:ind w:left="1587" w:hanging="0"/>
        <w:jc w:val="both"/>
        <w:rPr>
          <w:color w:val="FF0000"/>
        </w:rPr>
      </w:pPr>
      <w:r>
        <w:rPr>
          <w:rFonts w:cs="Calibri" w:ascii="Calibri" w:hAnsi="Calibri"/>
          <w:color w:val="FF0000"/>
        </w:rPr>
        <w:t>Os exemplares colocados à disposição da Administração serão tratados como protótipos, podendo ser manuseados e desmontados pela equipe técnica responsável pela análise, não gerando direito a ressarcimento.</w:t>
      </w:r>
    </w:p>
    <w:p>
      <w:pPr>
        <w:pStyle w:val="Normal"/>
        <w:numPr>
          <w:ilvl w:val="3"/>
          <w:numId w:val="1"/>
        </w:numPr>
        <w:suppressAutoHyphens w:val="false"/>
        <w:ind w:left="1587" w:hanging="0"/>
        <w:jc w:val="both"/>
        <w:rPr>
          <w:color w:val="FF0000"/>
        </w:rPr>
      </w:pPr>
      <w:r>
        <w:rPr>
          <w:rFonts w:cs="Calibri" w:ascii="Calibri" w:hAnsi="Calibri"/>
          <w:color w:val="FF0000"/>
        </w:rPr>
        <w:t xml:space="preserve">Após a divulgação do resultado final, as amostras entregues deverão ser recolhidas pelos fornecedores no prazo de 7 (sete) dias, após o qual poderão ser descartadas pelo Conselho, sem direito a ressarcimento. </w:t>
      </w:r>
    </w:p>
    <w:p>
      <w:pPr>
        <w:pStyle w:val="Normal"/>
        <w:numPr>
          <w:ilvl w:val="3"/>
          <w:numId w:val="1"/>
        </w:numPr>
        <w:suppressAutoHyphens w:val="false"/>
        <w:ind w:left="1587" w:hanging="0"/>
        <w:jc w:val="both"/>
        <w:rPr>
          <w:color w:val="FF0000"/>
        </w:rPr>
      </w:pPr>
      <w:r>
        <w:rPr>
          <w:rFonts w:cs="Calibri" w:ascii="Calibri" w:hAnsi="Calibri"/>
          <w:color w:val="FF0000"/>
        </w:rPr>
        <w:t>Os interessados deverão colocar à disposição do Conselho todas as condições indispensáveis à realização de testes e fornecer, sem ônus, os manuais impressos em língua portuguesa, necessários ao seu perfeito manuseio, quando for o caso.</w:t>
      </w:r>
      <w:commentRangeEnd w:id="11"/>
      <w:r>
        <w:commentReference w:id="11"/>
      </w:r>
      <w:r>
        <w:rPr>
          <w:rFonts w:cs="Calibri" w:ascii="Calibri" w:hAnsi="Calibri"/>
          <w:color w:val="FF0000"/>
        </w:rPr>
      </w:r>
    </w:p>
    <w:p>
      <w:pPr>
        <w:pStyle w:val="Normal"/>
        <w:suppressAutoHyphens w:val="false"/>
        <w:ind w:left="1587" w:hanging="0"/>
        <w:jc w:val="both"/>
        <w:rPr>
          <w:rFonts w:ascii="Calibri" w:hAnsi="Calibri" w:cs="Calibri"/>
        </w:rPr>
      </w:pPr>
      <w:r>
        <w:rPr>
          <w:rFonts w:cs="Calibri" w:ascii="Calibri" w:hAnsi="Calibri"/>
        </w:rPr>
      </w:r>
    </w:p>
    <w:p>
      <w:pPr>
        <w:pStyle w:val="Normal"/>
        <w:numPr>
          <w:ilvl w:val="2"/>
          <w:numId w:val="1"/>
        </w:numPr>
        <w:suppressAutoHyphens w:val="false"/>
        <w:ind w:left="794" w:hanging="0"/>
        <w:jc w:val="both"/>
        <w:rPr>
          <w:color w:val="FF0000"/>
        </w:rPr>
      </w:pPr>
      <w:commentRangeStart w:id="12"/>
      <w:r>
        <w:rPr>
          <w:rFonts w:cs="Calibri" w:ascii="Calibri" w:hAnsi="Calibri" w:cstheme="minorHAnsi"/>
          <w:color w:val="FF0000"/>
        </w:rPr>
        <w:t>Da vedação de contratação de marca/produto:</w:t>
      </w:r>
    </w:p>
    <w:p>
      <w:pPr>
        <w:pStyle w:val="Normal"/>
        <w:ind w:left="794" w:hanging="0"/>
        <w:jc w:val="both"/>
        <w:rPr>
          <w:rFonts w:ascii="Calibri" w:hAnsi="Calibri" w:cs="Calibri"/>
          <w:color w:val="FF0000"/>
        </w:rPr>
      </w:pPr>
      <w:r>
        <w:rPr>
          <w:rFonts w:cs="Calibri" w:ascii="Calibri" w:hAnsi="Calibri"/>
          <w:color w:val="FF0000"/>
        </w:rPr>
      </w:r>
    </w:p>
    <w:p>
      <w:pPr>
        <w:pStyle w:val="Normal"/>
        <w:numPr>
          <w:ilvl w:val="3"/>
          <w:numId w:val="1"/>
        </w:numPr>
        <w:suppressAutoHyphens w:val="false"/>
        <w:ind w:left="1587" w:hanging="0"/>
        <w:jc w:val="both"/>
        <w:rPr>
          <w:color w:val="FF0000"/>
        </w:rPr>
      </w:pPr>
      <w:r>
        <w:rPr>
          <w:rFonts w:cs="Calibri" w:ascii="Calibri" w:hAnsi="Calibri"/>
          <w:color w:val="FF0000"/>
        </w:rPr>
        <w:t>Diante das conclusões extraídas do processo n. ____, a Administração não aceitará o fornecimento dos seguintes produtos/marcas:</w:t>
      </w:r>
    </w:p>
    <w:p>
      <w:pPr>
        <w:pStyle w:val="Normal"/>
        <w:numPr>
          <w:ilvl w:val="0"/>
          <w:numId w:val="2"/>
        </w:numPr>
        <w:suppressAutoHyphens w:val="false"/>
        <w:ind w:left="2891" w:hanging="0"/>
        <w:jc w:val="both"/>
        <w:rPr>
          <w:color w:val="FF0000"/>
        </w:rPr>
      </w:pPr>
      <w:r>
        <w:rPr>
          <w:rFonts w:cs="Calibri" w:ascii="Calibri" w:hAnsi="Calibri"/>
          <w:color w:val="FF0000"/>
        </w:rPr>
        <w:t>1</w:t>
      </w:r>
    </w:p>
    <w:p>
      <w:pPr>
        <w:pStyle w:val="Normal"/>
        <w:numPr>
          <w:ilvl w:val="0"/>
          <w:numId w:val="2"/>
        </w:numPr>
        <w:suppressAutoHyphens w:val="false"/>
        <w:ind w:left="2891" w:hanging="0"/>
        <w:jc w:val="both"/>
        <w:rPr>
          <w:color w:val="FF0000"/>
        </w:rPr>
      </w:pPr>
      <w:r>
        <w:rPr>
          <w:rFonts w:cs="Calibri" w:ascii="Calibri" w:hAnsi="Calibri"/>
          <w:color w:val="FF0000"/>
        </w:rPr>
        <w:t>2</w:t>
      </w:r>
    </w:p>
    <w:p>
      <w:pPr>
        <w:pStyle w:val="Normal"/>
        <w:numPr>
          <w:ilvl w:val="0"/>
          <w:numId w:val="2"/>
        </w:numPr>
        <w:suppressAutoHyphens w:val="false"/>
        <w:ind w:left="2891" w:hanging="0"/>
        <w:jc w:val="both"/>
        <w:rPr>
          <w:color w:val="FF0000"/>
        </w:rPr>
      </w:pPr>
      <w:r>
        <w:rPr>
          <w:rFonts w:cs="Calibri" w:ascii="Calibri" w:hAnsi="Calibri"/>
          <w:color w:val="FF0000"/>
        </w:rPr>
        <w:t>...</w:t>
      </w:r>
      <w:commentRangeEnd w:id="12"/>
      <w:r>
        <w:commentReference w:id="12"/>
      </w:r>
      <w:r>
        <w:rPr>
          <w:rFonts w:cs="Calibri" w:ascii="Calibri" w:hAnsi="Calibri"/>
          <w:color w:val="FF0000"/>
        </w:rPr>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suppressAutoHyphens w:val="false"/>
        <w:ind w:left="3611" w:hanging="0"/>
        <w:jc w:val="both"/>
        <w:rPr>
          <w:rFonts w:ascii="Calibri" w:hAnsi="Calibri" w:cs="Calibri"/>
        </w:rPr>
      </w:pPr>
      <w:r>
        <w:rPr>
          <w:rFonts w:cs="Calibri" w:ascii="Calibri" w:hAnsi="Calibri"/>
        </w:rPr>
      </w:r>
    </w:p>
    <w:p>
      <w:pPr>
        <w:pStyle w:val="Normal"/>
        <w:numPr>
          <w:ilvl w:val="1"/>
          <w:numId w:val="1"/>
        </w:numPr>
        <w:suppressAutoHyphens w:val="false"/>
        <w:ind w:left="0" w:hanging="0"/>
        <w:jc w:val="both"/>
        <w:rPr>
          <w:rFonts w:ascii="Calibri" w:hAnsi="Calibri" w:cs="Calibri"/>
          <w:color w:val="C9211E"/>
        </w:rPr>
      </w:pPr>
      <w:commentRangeStart w:id="13"/>
      <w:r>
        <w:rPr>
          <w:rFonts w:cs="Calibri" w:ascii="Calibri" w:hAnsi="Calibri"/>
          <w:color w:val="C9211E"/>
        </w:rPr>
        <w:t>Não será admitida a subcontratação do objeto contratual.</w:t>
      </w:r>
      <w:commentRangeEnd w:id="13"/>
      <w:r>
        <w:commentReference w:id="13"/>
      </w:r>
      <w:r>
        <w:rPr>
          <w:rFonts w:cs="Calibri" w:ascii="Calibri" w:hAnsi="Calibri"/>
          <w:color w:val="C9211E"/>
        </w:rPr>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suppressAutoHyphens w:val="false"/>
        <w:ind w:left="1587" w:hanging="0"/>
        <w:jc w:val="both"/>
        <w:rPr>
          <w:rFonts w:ascii="Calibri" w:hAnsi="Calibri" w:cs="Calibri"/>
          <w:color w:val="C9211E"/>
        </w:rPr>
      </w:pPr>
      <w:r>
        <w:rPr>
          <w:rFonts w:cs="Calibri" w:ascii="Calibri" w:hAnsi="Calibri"/>
        </w:rPr>
        <w:t>ou</w:t>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C9211E"/>
        </w:rPr>
      </w:pPr>
      <w:commentRangeStart w:id="14"/>
      <w:r>
        <w:rPr>
          <w:rFonts w:cs="Calibri" w:ascii="Calibri" w:hAnsi="Calibri"/>
          <w:color w:val="C9211E"/>
        </w:rPr>
        <w:t>É permitida a subcontratação parcial do objeto, até o limite de ......%(..... por cento) do valor total do contrato, nas seguintes condições:</w:t>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É vedada a subcontratação completa ou da parcela principal da obrigação, a qual consiste em:</w:t>
      </w:r>
    </w:p>
    <w:p>
      <w:pPr>
        <w:pStyle w:val="Normal"/>
        <w:suppressAutoHyphens w:val="false"/>
        <w:ind w:left="2381" w:hanging="0"/>
        <w:jc w:val="both"/>
        <w:rPr>
          <w:rFonts w:ascii="Calibri" w:hAnsi="Calibri" w:cs="Calibri"/>
          <w:color w:val="C9211E"/>
        </w:rPr>
      </w:pPr>
      <w:r>
        <w:rPr>
          <w:rFonts w:cs="Calibri" w:ascii="Calibri" w:hAnsi="Calibri"/>
          <w:color w:val="C9211E"/>
        </w:rPr>
      </w:r>
    </w:p>
    <w:p>
      <w:pPr>
        <w:pStyle w:val="Normal"/>
        <w:numPr>
          <w:ilvl w:val="3"/>
          <w:numId w:val="1"/>
        </w:numPr>
        <w:suppressAutoHyphens w:val="false"/>
        <w:ind w:left="1587" w:hanging="0"/>
        <w:jc w:val="both"/>
        <w:rPr>
          <w:rFonts w:ascii="Calibri" w:hAnsi="Calibri" w:cs="Calibri"/>
          <w:color w:val="C9211E"/>
        </w:rPr>
      </w:pPr>
      <w:r>
        <w:rPr>
          <w:rFonts w:cs="Calibri" w:ascii="Calibri" w:hAnsi="Calibri"/>
        </w:rPr>
        <w:t>xxxx</w:t>
      </w:r>
    </w:p>
    <w:p>
      <w:pPr>
        <w:pStyle w:val="Normal"/>
        <w:numPr>
          <w:ilvl w:val="3"/>
          <w:numId w:val="1"/>
        </w:numPr>
        <w:suppressAutoHyphens w:val="false"/>
        <w:ind w:left="1587" w:hanging="0"/>
        <w:jc w:val="both"/>
        <w:rPr>
          <w:rFonts w:ascii="Calibri" w:hAnsi="Calibri" w:cs="Calibri"/>
          <w:color w:val="C9211E"/>
        </w:rPr>
      </w:pPr>
      <w:commentRangeEnd w:id="14"/>
      <w:r>
        <w:commentReference w:id="14"/>
      </w:r>
      <w:r>
        <w:rPr/>
      </w:r>
    </w:p>
    <w:p>
      <w:pPr>
        <w:pStyle w:val="Normal"/>
        <w:ind w:left="794"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C9211E"/>
        </w:rPr>
      </w:pPr>
      <w:commentRangeStart w:id="15"/>
      <w:r>
        <w:rPr>
          <w:rFonts w:cs="Calibri" w:ascii="Calibri" w:hAnsi="Calibri"/>
          <w:color w:val="C9211E"/>
        </w:rPr>
        <w:t>Não haverá exigência da garantia da contratação dos arts. 96 e seguintes da Lei nº 14.133/21, pelas razões abaixo justificadas:</w:t>
      </w:r>
    </w:p>
    <w:p>
      <w:pPr>
        <w:pStyle w:val="Normal"/>
        <w:suppressAutoHyphens w:val="false"/>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color w:val="C9211E"/>
        </w:rPr>
        <w:t>A presente dispensa de licitação visa aquisições de baixo vulto, assim não haverá obrigações futuras.</w:t>
      </w:r>
    </w:p>
    <w:p>
      <w:pPr>
        <w:pStyle w:val="Normal"/>
        <w:numPr>
          <w:ilvl w:val="2"/>
          <w:numId w:val="1"/>
        </w:numPr>
        <w:suppressAutoHyphens w:val="false"/>
        <w:ind w:left="794" w:hanging="0"/>
        <w:jc w:val="both"/>
        <w:rPr>
          <w:rFonts w:ascii="Calibri" w:hAnsi="Calibri" w:cs="Calibri"/>
          <w:color w:val="C9211E"/>
        </w:rPr>
      </w:pPr>
      <w:r>
        <w:rPr>
          <w:rFonts w:cs="Calibri" w:ascii="Calibri" w:hAnsi="Calibri"/>
          <w:color w:val="C9211E"/>
        </w:rPr>
        <w:t>O pagamento somente será efetivado após o recebimento definitivo do objeto.</w:t>
      </w:r>
    </w:p>
    <w:p>
      <w:pPr>
        <w:pStyle w:val="Normal"/>
        <w:numPr>
          <w:ilvl w:val="2"/>
          <w:numId w:val="1"/>
        </w:numPr>
        <w:suppressAutoHyphens w:val="false"/>
        <w:ind w:left="794" w:hanging="0"/>
        <w:jc w:val="both"/>
        <w:rPr>
          <w:rFonts w:ascii="Calibri" w:hAnsi="Calibri" w:cs="Calibri"/>
          <w:color w:val="C9211E"/>
        </w:rPr>
      </w:pPr>
      <w:r>
        <w:rPr>
          <w:rFonts w:cs="Calibri" w:ascii="Calibri" w:hAnsi="Calibri"/>
          <w:color w:val="C9211E"/>
        </w:rPr>
        <w:t>A garantia é obrigatória apenas para os contratos que envolvam a execução de serviços continuados com dedicação exclusiva de mão de obra, nos termos do art. 7º, VI do Decreto nº 9.507, de 2018, e do item 3 do Anexo VII-F da Instrução Normativa SEGES/MP n.º 05/2017, o que não é o caso da presente contratação.</w:t>
      </w:r>
    </w:p>
    <w:p>
      <w:pPr>
        <w:pStyle w:val="Normal"/>
        <w:numPr>
          <w:ilvl w:val="2"/>
          <w:numId w:val="1"/>
        </w:numPr>
        <w:suppressAutoHyphens w:val="false"/>
        <w:ind w:left="794" w:hanging="0"/>
        <w:jc w:val="both"/>
        <w:rPr>
          <w:rFonts w:ascii="Calibri" w:hAnsi="Calibri" w:cs="Calibri"/>
          <w:color w:val="C9211E"/>
        </w:rPr>
      </w:pPr>
      <w:r>
        <w:rPr>
          <w:rFonts w:cs="Calibri" w:ascii="Calibri" w:hAnsi="Calibri"/>
          <w:color w:val="C9211E"/>
        </w:rPr>
        <w:t>(...)</w:t>
      </w:r>
      <w:commentRangeEnd w:id="15"/>
      <w:r>
        <w:commentReference w:id="15"/>
      </w:r>
      <w:r>
        <w:rPr>
          <w:rFonts w:cs="Calibri" w:ascii="Calibri" w:hAnsi="Calibri"/>
          <w:color w:val="C9211E"/>
        </w:rPr>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suppressAutoHyphens w:val="false"/>
        <w:ind w:left="1587" w:hanging="0"/>
        <w:jc w:val="both"/>
        <w:rPr>
          <w:rFonts w:ascii="Calibri" w:hAnsi="Calibri" w:cs="Calibri"/>
          <w:color w:val="C9211E"/>
        </w:rPr>
      </w:pPr>
      <w:r>
        <w:rPr>
          <w:rFonts w:cs="Calibri" w:ascii="Calibri" w:hAnsi="Calibri"/>
        </w:rPr>
        <w:t>ou</w:t>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C9211E"/>
        </w:rPr>
      </w:pPr>
      <w:commentRangeStart w:id="16"/>
      <w:r>
        <w:rPr>
          <w:rFonts w:cs="Calibri" w:ascii="Calibri" w:hAnsi="Calibri"/>
          <w:color w:val="C9211E"/>
        </w:rPr>
        <w:t>Será exigida a garantia da contratação de que tratam os arts. 96 e seguintes da Lei nº 14.133/21, no percentual de ...% do valor contratual, conforme regras previstas no contrato.</w:t>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A garantia nas modalidades caução e fiança bancária deverá ser prestada em até sete dias após</w:t>
      </w:r>
      <w:r>
        <w:rPr>
          <w:rFonts w:cs="Calibri" w:ascii="Calibri" w:hAnsi="Calibri"/>
          <w:color w:val="C9211E"/>
        </w:rPr>
        <w:t xml:space="preserve"> XXXXXX (autorização da dispensa OU notificação OU assinatura do contrato etc.).</w:t>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No caso de seguro-garantia sua apresentação deverá ocorrer, no máximo, até a data de assinatura do contrato.</w:t>
      </w:r>
      <w:commentRangeEnd w:id="16"/>
      <w:r>
        <w:commentReference w:id="16"/>
      </w:r>
      <w:r>
        <w:rPr>
          <w:rFonts w:cs="Calibri" w:ascii="Calibri" w:hAnsi="Calibri"/>
        </w:rPr>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cs="Calibri"/>
          <w:b/>
          <w:b/>
          <w:bCs/>
          <w:color w:val="FFFFFF"/>
        </w:rPr>
      </w:pPr>
      <w:r>
        <w:rPr>
          <w:rFonts w:cs="Calibri" w:ascii="Calibri" w:hAnsi="Calibri"/>
          <w:b/>
          <w:bCs/>
          <w:color w:val="FFFFFF"/>
        </w:rPr>
        <w:t>MODELO DE EXECUÇÃO CONTRATUAL (arts. 6º, XXIII, alínea “e” e 40, §1º, inciso II, da Lei nº 14.133/2021).</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 prazo de entrega dos bens é de </w:t>
      </w:r>
      <w:r>
        <w:rPr>
          <w:rFonts w:cs="Calibri" w:ascii="Calibri" w:hAnsi="Calibri"/>
          <w:color w:val="C9211E"/>
        </w:rPr>
        <w:t>xxx</w:t>
      </w:r>
      <w:r>
        <w:rPr>
          <w:rFonts w:cs="Calibri" w:ascii="Calibri" w:hAnsi="Calibri"/>
          <w:color w:val="00000A"/>
        </w:rPr>
        <w:t xml:space="preserve"> dias, contados do(a) </w:t>
      </w:r>
      <w:r>
        <w:rPr>
          <w:rFonts w:cs="Calibri" w:ascii="Calibri" w:hAnsi="Calibri"/>
          <w:color w:val="C9211E"/>
        </w:rPr>
        <w:t>(Envio da ordem de compra/serviço juntamente com a Nota de Empenho ou autorização da dispensa OU notificação OU assinatura do contrato etc.)</w:t>
      </w:r>
      <w:r>
        <w:rPr>
          <w:rFonts w:cs="Calibri" w:ascii="Calibri" w:hAnsi="Calibri"/>
          <w:color w:val="00000A"/>
        </w:rPr>
        <w:t>, em remessa única.</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color w:val="00000A"/>
        </w:rPr>
        <w:t>A empresa Vencedora deverá indicar endereço de e-mail para recebimento dos pedidos;</w:t>
      </w:r>
    </w:p>
    <w:p>
      <w:pPr>
        <w:pStyle w:val="Normal"/>
        <w:numPr>
          <w:ilvl w:val="2"/>
          <w:numId w:val="1"/>
        </w:numPr>
        <w:suppressAutoHyphens w:val="false"/>
        <w:ind w:left="794" w:hanging="0"/>
        <w:jc w:val="both"/>
        <w:rPr>
          <w:rFonts w:ascii="Calibri" w:hAnsi="Calibri" w:cs="Calibri"/>
          <w:color w:val="00000A"/>
        </w:rPr>
      </w:pPr>
      <w:r>
        <w:rPr>
          <w:rFonts w:cs="Calibri" w:ascii="Calibri" w:hAnsi="Calibri"/>
          <w:color w:val="00000A"/>
        </w:rPr>
        <w:t>Não havendo confirmação da empresa quanto ao recebimento do pedido enviado por e-mail, após 2 (dois) dias úteis do pedido realizado pelo CREMERJ, presumir-se-á recebida a Ordem de Compra, quando começará a contagem do prazo para envio, comprometendo-se a empresa a verificar o e-mail fornecido para este fim.</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rFonts w:ascii="Calibri" w:hAnsi="Calibri" w:cs="Calibri"/>
          <w:color w:val="C9211E"/>
        </w:rPr>
      </w:pPr>
      <w:r>
        <w:rPr>
          <w:rFonts w:cs="Calibri" w:ascii="Calibri" w:hAnsi="Calibri"/>
        </w:rPr>
        <w:t>ou</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rFonts w:ascii="Calibri" w:hAnsi="Calibri" w:cs="Calibri"/>
          <w:color w:val="C9211E"/>
        </w:rPr>
      </w:pPr>
      <w:r>
        <w:rPr>
          <w:rFonts w:cs="Calibri" w:ascii="Calibri" w:hAnsi="Calibri"/>
          <w:color w:val="C9211E"/>
        </w:rPr>
        <w:t>(para entregas parceladas)</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color w:val="C9211E"/>
        </w:rPr>
      </w:pPr>
      <w:commentRangeStart w:id="17"/>
      <w:r>
        <w:rPr>
          <w:rFonts w:cs="Calibri" w:ascii="Calibri" w:hAnsi="Calibri"/>
          <w:color w:val="C9211E"/>
        </w:rPr>
        <w:t>As parcelas serão entregues nos seguintes prazos e condições:</w:t>
      </w:r>
    </w:p>
    <w:p>
      <w:pPr>
        <w:pStyle w:val="Normal"/>
        <w:suppressAutoHyphens w:val="false"/>
        <w:ind w:left="794" w:hanging="0"/>
        <w:jc w:val="both"/>
        <w:rPr>
          <w:rFonts w:ascii="Calibri" w:hAnsi="Calibri" w:cs="Calibri"/>
          <w:color w:val="C9211E"/>
        </w:rPr>
      </w:pPr>
      <w:r>
        <w:rPr>
          <w:rFonts w:cs="Calibri" w:ascii="Calibri" w:hAnsi="Calibri"/>
          <w:color w:val="C9211E"/>
        </w:rPr>
      </w:r>
    </w:p>
    <w:tbl>
      <w:tblPr>
        <w:tblW w:w="9540" w:type="dxa"/>
        <w:jc w:val="center"/>
        <w:tblInd w:w="0" w:type="dxa"/>
        <w:tblLayout w:type="fixed"/>
        <w:tblCellMar>
          <w:top w:w="55" w:type="dxa"/>
          <w:left w:w="12" w:type="dxa"/>
          <w:bottom w:w="55" w:type="dxa"/>
          <w:right w:w="55" w:type="dxa"/>
        </w:tblCellMar>
        <w:tblLook w:firstRow="1" w:noVBand="1" w:lastRow="0" w:firstColumn="1" w:lastColumn="0" w:noHBand="0" w:val="04a0"/>
      </w:tblPr>
      <w:tblGrid>
        <w:gridCol w:w="729"/>
        <w:gridCol w:w="6231"/>
        <w:gridCol w:w="2580"/>
      </w:tblGrid>
      <w:tr>
        <w:trPr/>
        <w:tc>
          <w:tcPr>
            <w:tcW w:w="729"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Parcela</w:t>
            </w:r>
          </w:p>
        </w:tc>
        <w:tc>
          <w:tcPr>
            <w:tcW w:w="6231"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Composição da Parcela</w:t>
            </w:r>
          </w:p>
        </w:tc>
        <w:tc>
          <w:tcPr>
            <w:tcW w:w="2580"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Prazo de Entrega</w:t>
            </w:r>
          </w:p>
        </w:tc>
      </w:tr>
      <w:tr>
        <w:trPr/>
        <w:tc>
          <w:tcPr>
            <w:tcW w:w="729" w:type="dxa"/>
            <w:tcBorders>
              <w:left w:val="single" w:sz="2" w:space="0" w:color="000001"/>
              <w:bottom w:val="single" w:sz="2" w:space="0" w:color="000001"/>
            </w:tcBorders>
            <w:vAlign w:val="center"/>
          </w:tcPr>
          <w:p>
            <w:pPr>
              <w:pStyle w:val="Contedodatabela"/>
              <w:widowControl w:val="false"/>
              <w:jc w:val="center"/>
              <w:rPr>
                <w:color w:val="C9211E"/>
                <w:sz w:val="20"/>
                <w:szCs w:val="20"/>
              </w:rPr>
            </w:pPr>
            <w:r>
              <w:rPr>
                <w:rFonts w:cs="Calibri" w:ascii="Calibri" w:hAnsi="Calibri"/>
                <w:color w:val="C9211E"/>
                <w:sz w:val="20"/>
                <w:szCs w:val="20"/>
              </w:rPr>
              <w:t>01</w:t>
            </w:r>
          </w:p>
        </w:tc>
        <w:tc>
          <w:tcPr>
            <w:tcW w:w="6231" w:type="dxa"/>
            <w:tcBorders>
              <w:left w:val="single" w:sz="2" w:space="0" w:color="000001"/>
              <w:bottom w:val="single" w:sz="2" w:space="0" w:color="000001"/>
            </w:tcBorders>
            <w:vAlign w:val="center"/>
          </w:tcPr>
          <w:p>
            <w:pPr>
              <w:pStyle w:val="Contedodatabela"/>
              <w:widowControl w:val="false"/>
              <w:jc w:val="both"/>
              <w:rPr>
                <w:rFonts w:ascii="Calibri" w:hAnsi="Calibri"/>
                <w:color w:val="C9211E"/>
                <w:sz w:val="20"/>
                <w:szCs w:val="20"/>
              </w:rPr>
            </w:pPr>
            <w:r>
              <w:rPr>
                <w:rFonts w:ascii="Calibri" w:hAnsi="Calibri"/>
                <w:color w:val="C9211E"/>
                <w:sz w:val="20"/>
                <w:szCs w:val="20"/>
              </w:rPr>
              <w:t>... unidades do item ..., ... unidades do item ...</w:t>
            </w:r>
          </w:p>
        </w:tc>
        <w:tc>
          <w:tcPr>
            <w:tcW w:w="2580" w:type="dxa"/>
            <w:tcBorders>
              <w:left w:val="single" w:sz="2" w:space="0" w:color="000001"/>
              <w:bottom w:val="single" w:sz="2" w:space="0" w:color="000001"/>
              <w:right w:val="single" w:sz="2" w:space="0" w:color="000001"/>
            </w:tcBorders>
            <w:vAlign w:val="center"/>
          </w:tcPr>
          <w:p>
            <w:pPr>
              <w:pStyle w:val="Contedodatabela"/>
              <w:widowControl w:val="false"/>
              <w:jc w:val="center"/>
              <w:rPr>
                <w:rFonts w:ascii="Calibri" w:hAnsi="Calibri"/>
                <w:color w:val="C9211E"/>
                <w:sz w:val="20"/>
                <w:szCs w:val="20"/>
              </w:rPr>
            </w:pPr>
            <w:r>
              <w:rPr>
                <w:rFonts w:cs="Calibri" w:ascii="Calibri" w:hAnsi="Calibri"/>
                <w:color w:val="C9211E"/>
                <w:sz w:val="20"/>
                <w:szCs w:val="20"/>
              </w:rPr>
              <w:t>... dias da Assinatura/da Ordem de Fornecimento/[...]</w:t>
            </w:r>
          </w:p>
        </w:tc>
      </w:tr>
      <w:tr>
        <w:trPr/>
        <w:tc>
          <w:tcPr>
            <w:tcW w:w="729" w:type="dxa"/>
            <w:tcBorders>
              <w:left w:val="single" w:sz="2" w:space="0" w:color="000001"/>
              <w:bottom w:val="single" w:sz="2" w:space="0" w:color="000001"/>
            </w:tcBorders>
            <w:vAlign w:val="center"/>
          </w:tcPr>
          <w:p>
            <w:pPr>
              <w:pStyle w:val="Contedodatabela"/>
              <w:widowControl w:val="false"/>
              <w:jc w:val="center"/>
              <w:rPr>
                <w:color w:val="C9211E"/>
                <w:sz w:val="20"/>
                <w:szCs w:val="20"/>
              </w:rPr>
            </w:pPr>
            <w:r>
              <w:rPr>
                <w:color w:val="C9211E"/>
                <w:sz w:val="20"/>
                <w:szCs w:val="20"/>
              </w:rPr>
            </w:r>
          </w:p>
        </w:tc>
        <w:tc>
          <w:tcPr>
            <w:tcW w:w="6231" w:type="dxa"/>
            <w:tcBorders>
              <w:left w:val="single" w:sz="2" w:space="0" w:color="000001"/>
              <w:bottom w:val="single" w:sz="2" w:space="0" w:color="000001"/>
            </w:tcBorders>
            <w:vAlign w:val="center"/>
          </w:tcPr>
          <w:p>
            <w:pPr>
              <w:pStyle w:val="Contedodatabela"/>
              <w:widowControl w:val="false"/>
              <w:jc w:val="both"/>
              <w:rPr>
                <w:rFonts w:ascii="Calibri" w:hAnsi="Calibri"/>
                <w:color w:val="C9211E"/>
                <w:sz w:val="20"/>
                <w:szCs w:val="20"/>
              </w:rPr>
            </w:pPr>
            <w:r>
              <w:rPr>
                <w:rFonts w:ascii="Calibri" w:hAnsi="Calibri"/>
                <w:color w:val="C9211E"/>
                <w:sz w:val="20"/>
                <w:szCs w:val="20"/>
              </w:rPr>
            </w:r>
          </w:p>
        </w:tc>
        <w:tc>
          <w:tcPr>
            <w:tcW w:w="2580" w:type="dxa"/>
            <w:tcBorders>
              <w:left w:val="single" w:sz="2" w:space="0" w:color="000001"/>
              <w:bottom w:val="single" w:sz="2" w:space="0" w:color="000001"/>
              <w:right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r>
          </w:p>
        </w:tc>
      </w:tr>
    </w:tbl>
    <w:p>
      <w:pPr>
        <w:pStyle w:val="Normal"/>
        <w:suppressAutoHyphens w:val="false"/>
        <w:ind w:left="794" w:hanging="0"/>
        <w:jc w:val="both"/>
        <w:rPr>
          <w:rFonts w:ascii="Calibri" w:hAnsi="Calibri" w:cs="Calibri"/>
          <w:color w:val="C9211E"/>
        </w:rPr>
      </w:pPr>
      <w:commentRangeEnd w:id="17"/>
      <w:r>
        <w:commentReference w:id="17"/>
      </w:r>
      <w:r>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Caso não seja possível a entrega na data assinalada, a empresa deverá comunicar as razões respectivas com, pelo menos, </w:t>
      </w:r>
      <w:r>
        <w:rPr>
          <w:rFonts w:cs="Calibri" w:ascii="Calibri" w:hAnsi="Calibri"/>
          <w:color w:val="C9211E"/>
        </w:rPr>
        <w:t>dois</w:t>
      </w:r>
      <w:r>
        <w:rPr>
          <w:rFonts w:cs="Calibri" w:ascii="Calibri" w:hAnsi="Calibri"/>
          <w:color w:val="00000A"/>
        </w:rPr>
        <w:t xml:space="preserve"> dias de antecedência para que qualquer pleito de prorrogação de prazo seja analisado, ressalvadas situações de caso fortuito e força maior.</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Vencido o prazo inicial ou da eventual prorrogação, sem que os bens requisitados tenham sido entregues, caracterizar-se-á a recusa do cumprimento da obrigação pactuada e, por conseguinte, ficará a CONTRATADA sujeita às penalidades previstas no Edital e anexos do respectivo certame.</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Os itens solicitados devem ser entregues na sede do Cremerj, situada a Praia de Botafogo, 228, Botafogo – Rio de Janeiro, RJ – CEP: 22.250-145.</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rPr>
      </w:pPr>
      <w:r>
        <w:rPr>
          <w:rFonts w:ascii="Calibri" w:hAnsi="Calibri"/>
        </w:rPr>
        <w:t>Os itens devem ser entregues no endereço acima, em dias úteis (segunda a sexta-feira, excluindo-se feriados), nos horários compreendidos entre 9h e 12h e entre 13h30 e 16h.</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Os produtos deverão ser entregues na Sede do Conselho Regional de Medicina do Estado do Rio de Janeiro no endereço citado no item </w:t>
      </w:r>
      <w:r>
        <w:rPr>
          <w:rFonts w:cs="Calibri" w:ascii="Calibri" w:hAnsi="Calibri"/>
          <w:color w:val="C9211E"/>
        </w:rPr>
        <w:t>5.x</w:t>
      </w:r>
      <w:r>
        <w:rPr>
          <w:rFonts w:cs="Calibri" w:ascii="Calibri" w:hAnsi="Calibri"/>
          <w:color w:val="00000A"/>
        </w:rPr>
        <w:t>, sendo recebidos e conferidos pelo responsável pela demanda, no horário e dia especificados, devendo o fornecedor ou o transportador por ele contratado certificar-se antecipadamente quanto a feriados locais ou alterações nos horários de expediente.</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 transporte dos materiais até o local especificado, no dia da entrega, deverá ser realizado pela CONTRATADA (inclusive os procedimentos de seguro, embalagem e transporte até o local especificado dentro do depósito).</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 CONTRATADA deverá realizar os procedimentos de transbordo, descarga e armazenamento dos materiais (com as embalagens originais) no local indicado para a entrega.</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 CONTRATANTE não fornecerá equipamentos ou mão de obra para auxiliar na descarga, designando apenas um funcionário para acompanhar e fiscalizar os procedimentos realizados pela CONTRATADA.</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 verificação quanto ao estado dos itens após o transporte será de exclusiva responsabilidade da CONTRATADA, sendo que quaisquer danos ocorridos no transporte destes e observados a qualquer tempo, deverão ser substituídos, sem qualquer ônus ou solidariedade por parte da CONTRATANTE.</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Os bens serão recebidos provisoriamente, de forma sumária, no prazo de </w:t>
      </w:r>
      <w:r>
        <w:rPr>
          <w:rFonts w:cs="Calibri" w:ascii="Calibri" w:hAnsi="Calibri"/>
          <w:color w:val="C9211E"/>
        </w:rPr>
        <w:t>dois</w:t>
      </w:r>
      <w:r>
        <w:rPr>
          <w:rFonts w:cs="Calibri" w:ascii="Calibri" w:hAnsi="Calibri"/>
          <w:color w:val="00000A"/>
        </w:rPr>
        <w:t xml:space="preserve"> dias, pelo(a) responsável pelo acompanhamento e fiscalização do contrato, para efeito de posterior verificação de sua conformidade com as especificações constantes neste Termo de Referência e na proposta.</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Do recebimento provisório:</w:t>
      </w:r>
    </w:p>
    <w:p>
      <w:pPr>
        <w:pStyle w:val="Normal"/>
        <w:suppressAutoHyphens w:val="false"/>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Nos locais de entrega, o servidor competente fará o recebimento provisório dos itens, limitando-se a verificar o conteúdo do(s) volume(s) com o discriminado na Nota Fiscal;</w:t>
      </w:r>
    </w:p>
    <w:p>
      <w:pPr>
        <w:pStyle w:val="Normal"/>
        <w:suppressAutoHyphens w:val="false"/>
        <w:ind w:left="794" w:hanging="0"/>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Em caso de conformidade, o(s) servidor(es) fará(ão) constar no verso da Nota Fiscal a data de entrega dos itens;</w:t>
      </w:r>
    </w:p>
    <w:p>
      <w:pPr>
        <w:pStyle w:val="Normal"/>
        <w:suppressAutoHyphens w:val="false"/>
        <w:ind w:left="794" w:hanging="0"/>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Em caso de não conformidade dos itens entregues com as informações contidas na Nota Fiscal, o(s) servidor(es) competente(s) não receberá(ão) os bens e discriminará(ão), mediante termo circunstanciado, em duas vias, as irregularidades encontradas;</w:t>
      </w:r>
    </w:p>
    <w:p>
      <w:pPr>
        <w:pStyle w:val="Normal"/>
        <w:suppressAutoHyphens w:val="false"/>
        <w:ind w:left="794" w:hanging="0"/>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Uma das vias do termo circunstanciado ficará com o(s) servidor(es) competente(s) e a outra será encaminhada para o fornecedor, até o primeiro dia útil subsequente.</w:t>
      </w:r>
    </w:p>
    <w:p>
      <w:pPr>
        <w:pStyle w:val="Normal"/>
        <w:suppressAutoHyphens w:val="false"/>
        <w:ind w:left="794" w:hanging="0"/>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O(s) servidor(es) competente(s) ficará(ão) responsável(veis) por consolidar as cópias digitalizadas das Notas Fiscais assinadas, dos itens entregues e a emitirem o termo de recebimento provisório;</w:t>
      </w:r>
    </w:p>
    <w:p>
      <w:pPr>
        <w:pStyle w:val="Normal"/>
        <w:suppressAutoHyphens w:val="false"/>
        <w:ind w:left="794" w:hanging="0"/>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Após isso, o(s) servidor(es) competente(s) enviará(ão) as cópias digitalizadas das Notas Fiscais de entrega dos itens, o termo de recebimento provisório e eventuais termos de não conformidade ao gestor do contrato em até 5 (cinco) dias úteis após a entrega.</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Os bens poderão ser rejeitados, no todo ou em parte, quando em desacordo com as especificações constantes neste Termo de Referência e na proposta, devendo ser substituídos no prazo de </w:t>
      </w:r>
      <w:r>
        <w:rPr>
          <w:rFonts w:cs="Calibri" w:ascii="Calibri" w:hAnsi="Calibri"/>
          <w:color w:val="C9211E"/>
        </w:rPr>
        <w:t>sete</w:t>
      </w:r>
      <w:r>
        <w:rPr>
          <w:rFonts w:cs="Calibri" w:ascii="Calibri" w:hAnsi="Calibri"/>
          <w:color w:val="00000A"/>
        </w:rPr>
        <w:t xml:space="preserve"> dias, a contar da notificação da contratada, às suas custas, sem prejuízo da aplicação das penalidades.</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Os bens serão recebidos definitivamente no prazo de </w:t>
      </w:r>
      <w:r>
        <w:rPr>
          <w:rFonts w:cs="Calibri" w:ascii="Calibri" w:hAnsi="Calibri"/>
          <w:color w:val="C9211E"/>
        </w:rPr>
        <w:t>sete</w:t>
      </w:r>
      <w:r>
        <w:rPr>
          <w:rFonts w:cs="Calibri" w:ascii="Calibri" w:hAnsi="Calibri"/>
          <w:color w:val="00000A"/>
        </w:rPr>
        <w:t xml:space="preserve"> dias, contados do recebimento provisório, após a verificação da qualidade e quantidade do material e consequente aceitação mediante termo detalhado.</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Na hipótese da verificação a que se refere o subitem anterior não ser procedida dentro do prazo fixado, reputar-se-á como realizada, consumando-se o recebimento definitivo no dia do esgotamento do prazo.</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 recebimento provisório ou definitivo não excluirá a responsabilidade civil pela solidez e pela segurança do serviço nem a responsabilidade ético-profissional pela perfeita execução do contrato.</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cs="Calibri"/>
          <w:b/>
          <w:b/>
          <w:bCs/>
          <w:color w:val="FFFFFF"/>
        </w:rPr>
      </w:pPr>
      <w:r>
        <w:rPr>
          <w:rFonts w:cs="Calibri" w:ascii="Calibri" w:hAnsi="Calibri"/>
          <w:b/>
          <w:bCs/>
          <w:color w:val="FFFFFF"/>
        </w:rPr>
        <w:t>ESPECIFICAÇÃO DA GARANTIA CONTRATUAL EXIGIDA E DAS CONDIÇÕES DE MANUTENÇÃO E ASSISTÊNCIA TÉCNICA (art. 40, §1º, inciso III, da Lei nº 14.133/2021)</w:t>
      </w:r>
    </w:p>
    <w:p>
      <w:pPr>
        <w:pStyle w:val="Normal"/>
        <w:ind w:left="794" w:hanging="0"/>
        <w:jc w:val="both"/>
        <w:rPr>
          <w:rFonts w:ascii="Calibri" w:hAnsi="Calibri" w:cs="Calibri"/>
          <w:color w:val="00000A"/>
        </w:rPr>
      </w:pPr>
      <w:r>
        <w:rPr>
          <w:rFonts w:cs="Calibri" w:ascii="Calibri" w:hAnsi="Calibri"/>
          <w:color w:val="00000A"/>
        </w:rPr>
      </w:r>
    </w:p>
    <w:p>
      <w:pPr>
        <w:pStyle w:val="Normal"/>
        <w:spacing w:lineRule="auto" w:line="276"/>
        <w:ind w:left="794" w:hanging="0"/>
        <w:jc w:val="both"/>
        <w:rPr>
          <w:rFonts w:ascii="Arial" w:hAnsi="Arial" w:cs="Arial"/>
          <w:i/>
          <w:i/>
          <w:color w:val="FF0000"/>
          <w:sz w:val="20"/>
          <w:szCs w:val="20"/>
        </w:rPr>
      </w:pPr>
      <w:r>
        <w:rPr>
          <w:rFonts w:cs="Arial" w:ascii="Arial" w:hAnsi="Arial"/>
          <w:i/>
          <w:color w:val="FF0000"/>
          <w:sz w:val="20"/>
          <w:szCs w:val="20"/>
        </w:rPr>
        <w:t>(Sugere-se a redação abaixo para material de consumo):</w:t>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C9211E"/>
        </w:rPr>
        <w:t>O prazo de garantia contratual dos bens, complementar à garantia legal, será de, no mínimo, 12 (doze) meses, contado a partir do primeiro dia útil subsequente à data do recebimento definitivo do objeto.</w:t>
      </w:r>
      <w:r>
        <w:rPr>
          <w:rFonts w:cs="Calibri" w:ascii="Calibri" w:hAnsi="Calibri"/>
          <w:color w:val="00000A"/>
        </w:rPr>
        <w:t xml:space="preserve"> </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Caso o prazo da garantia oferecida pelo fabricante seja inferior ao estabelecido nesta cláusula, o fornecedor deverá complementar a garantia do bem ofertado pelo período restante.</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pacing w:lineRule="auto" w:line="276"/>
        <w:ind w:left="794" w:hanging="0"/>
        <w:jc w:val="both"/>
        <w:rPr>
          <w:rFonts w:ascii="Arial" w:hAnsi="Arial" w:cs="Arial"/>
          <w:i/>
          <w:i/>
          <w:color w:val="FF0000"/>
          <w:sz w:val="20"/>
          <w:szCs w:val="20"/>
        </w:rPr>
      </w:pPr>
      <w:r>
        <w:rPr>
          <w:rFonts w:cs="Arial" w:ascii="Arial" w:hAnsi="Arial"/>
          <w:i/>
          <w:color w:val="FF0000"/>
          <w:sz w:val="20"/>
          <w:szCs w:val="20"/>
        </w:rPr>
        <w:t>(Sugere-se a redação abaixo para material permanente):</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C9211E"/>
        </w:rPr>
        <w:t>O prazo de garantia contratual dos bens, complementar à garantia legal, é de, no mínimo, 12 (doze) meses, ou pelo prazo fornecido pelo fabricante, se superior, contado a partir do primeiro dia útil subsequente à data do recebimento definitivo do objeto.</w:t>
      </w:r>
      <w:r>
        <w:rPr>
          <w:rFonts w:cs="Calibri" w:ascii="Calibri" w:hAnsi="Calibri"/>
          <w:color w:val="00000A"/>
        </w:rPr>
        <w:t xml:space="preserve"> </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A garantia será prestada com vistas a manter os equipamentos fornecidos em perfeitas condições de uso, sem qualquer ônus ou custo adicional para o Contratante. </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A garantia abrange a realização da manutenção corretiva dos bens pelo próprio Contratado, ou, se for o caso, por meio de assistência técnica autorizada, de acordo com as normas técnicas específicas. </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Entende-se por manutenção corretiva aquela destinada a corrigir os defeitos apresentados pelos bens, compreendendo a substituição de peças, a realização de ajustes, reparos e correções necessárias. </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Uma vez notificado, o Contratado realizará a reparação ou substituição dos bens que apresentarem vício ou defeito no prazo de até 7 (sete) dias úteis, contados a partir da data de retirada do equipamento das dependências da Administração pelo Contratado ou pela assistência técnica autorizada. </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 prazo indicado no subitem anterior, durante seu transcurso, poderá ser prorrogado uma única vez, por igual período, mediante solicitação escrita e justificada do Contratado, aceita pelo Contratante. </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Na hipótese do subitem acima, o Contratado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Decorrido o prazo para reparos e substituições sem o atendimento da solicitação do Contratante ou a apresentação de justificativas pelo Contratado,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 custo referente ao transporte dos equipamentos cobertos pela garantia será de responsabilidade do Contratado. </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cs="Calibri"/>
          <w:b/>
          <w:b/>
          <w:bCs/>
          <w:color w:val="FFFFFF"/>
        </w:rPr>
      </w:pPr>
      <w:r>
        <w:rPr>
          <w:rFonts w:cs="Calibri" w:ascii="Calibri" w:hAnsi="Calibri"/>
          <w:b/>
          <w:bCs/>
          <w:color w:val="FFFFFF"/>
        </w:rPr>
        <w:t>MODELO DE GESTÃO DO CONTRATO (art. 6º, XXIII, alínea “f”, da Lei nº 14.133/21)</w:t>
      </w:r>
    </w:p>
    <w:p>
      <w:pPr>
        <w:pStyle w:val="Normal"/>
        <w:ind w:left="794" w:hanging="0"/>
        <w:jc w:val="both"/>
        <w:rPr>
          <w:rFonts w:ascii="Calibri" w:hAnsi="Calibri" w:cs="Calibri"/>
          <w:color w:val="00000A"/>
        </w:rPr>
      </w:pPr>
      <w:r>
        <w:rPr>
          <w:rFonts w:cs="Calibri" w:ascii="Calibri" w:hAnsi="Calibri"/>
          <w:color w:val="00000A"/>
        </w:rPr>
      </w:r>
    </w:p>
    <w:p>
      <w:pPr>
        <w:pStyle w:val="Normal"/>
        <w:spacing w:lineRule="auto" w:line="276"/>
        <w:ind w:left="794" w:hanging="0"/>
        <w:jc w:val="both"/>
        <w:rPr>
          <w:rFonts w:ascii="Arial" w:hAnsi="Arial" w:cs="Arial"/>
          <w:i/>
          <w:i/>
          <w:color w:val="FF0000"/>
          <w:sz w:val="20"/>
          <w:szCs w:val="20"/>
        </w:rPr>
      </w:pPr>
      <w:r>
        <w:rPr>
          <w:rFonts w:cs="Arial" w:ascii="Arial" w:hAnsi="Arial"/>
          <w:i/>
          <w:color w:val="FF0000"/>
          <w:sz w:val="20"/>
          <w:szCs w:val="20"/>
        </w:rPr>
        <w:t>(Sugere-se a redação abaixo para material de consumo):</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 contrato deverá ser executado fielmente pelas partes, de acordo com as cláusulas avençadas e as normas da Lei nº 14.133, de 2021, e cada parte responderá pelas consequências de sua inexecução total ou parcial (Lei nº 14.133/2021, art. 115, caput).</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Em caso de impedimento, ordem de paralisação ou suspensão do contrato, o cronograma de execução será prorrogado automaticamente pelo tempo correspondente, anotadas tais circunstâncias mediante simples apostila (Lei nº 14.133/2021, art. 115, §5º).</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A execução do contrato deverá ser acompanhada e fiscalizada pelo(s) fiscal(is) do contrato, ou pelos respectivos substitutos (Lei nº 14.133/2021, art. 117, caput). </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O fiscal do contrato anotará em registro próprio todas as ocorrências relacionadas à execução do contrato, determinando o que for necessário para a regularização das faltas ou dos defeitos observados (Lei nº 14.133/2021, art. 117, §1º).</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O fiscal do contrato informará a seus superiores, em tempo hábil para a adoção das medidas convenientes, a situação que demandar decisão ou providência que ultrapasse sua competência (Lei nº 14.133/2021, art. 117, §2º).</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 contratado será obrigado a reparar, corrigir, remover, reconstruir ou substituir, a suas expensas, no total ou em parte, o objeto do contrato em que se verificarem vícios, defeitos ou incorreções resultantes de sua execução ou de materiais nela empregados (Lei nº 14.133/2021, art. 119).</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 contratado será responsável pelos danos causados diretamente à Administração ou a terceiros em razão da execução do contrato, e não excluirá nem reduzirá essa responsabilidade à fiscalização ou o acompanhamento pelo contratante (Lei nº 14.133/2021, art. 120).</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Somente o contratado será responsável pelos encargos trabalhistas, previdenciários, fiscais e comerciais resultantes da execução do contrato (Lei nº 14.133/2021, art. 121, caput).</w:t>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A inadimplência do contratado em relação aos encargos trabalhistas, fiscais e comerciais não transferirá à Administração a responsabilidade pelo seu pagamento e não poderá onerar o objeto do contrato (Lei nº 14.133/2021, art. 121, §1º).</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As comunicações entre o órgão ou entidade e a contratada devem ser realizadas por escrito sempre que o ato exigir tal formalidade, admitindo-se, excepcionalmente, o uso de mensagem eletrônica para esse fim (IN 5/2017, art. 44, §2º).</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 órgão ou entidade poderá convocar representante da empresa para adoção de providências que devam ser cumpridas de imediato (IN 5/2017, art. 44, 31º).</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Após a assinatura do contrato ou instrumento equivalente, o órgão ou entidade convocará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 (IN 5/2017, art. 44, 31º).</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Antes do pagamento da nota fiscal ou da fatura, deverá ser consultada a situação da empresa junto ao SICAF.</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Serão exigidos a Certidão Negativa de Débito (CND) relativa a Créditos Tributários Federais e à Dívida Ativa da União, o Certificado de Regularidade do FGTS (CRF) e a Certidão Negativa de Débitos Trabalhistas (CNDT), caso esses documentos não estejam regularizados no SICAF.</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commentRangeStart w:id="18"/>
      <w:r>
        <w:rPr>
          <w:rFonts w:cs="Calibri" w:ascii="Calibri" w:hAnsi="Calibri"/>
          <w:color w:val="00000A"/>
        </w:rPr>
        <w:t>Além do disposto acima, a fiscalização contratual obedecerá às seguintes rotinas:</w:t>
      </w:r>
    </w:p>
    <w:p>
      <w:pPr>
        <w:pStyle w:val="Nivel2"/>
        <w:numPr>
          <w:ilvl w:val="2"/>
          <w:numId w:val="1"/>
        </w:numPr>
        <w:suppressAutoHyphens w:val="false"/>
        <w:spacing w:before="0" w:after="0"/>
        <w:ind w:left="794" w:hanging="0"/>
        <w:rPr>
          <w:rFonts w:ascii="Calibri" w:hAnsi="Calibri" w:cs="Calibri"/>
        </w:rPr>
      </w:pPr>
      <w:r>
        <w:rPr>
          <w:rFonts w:cs="Calibri" w:ascii="Calibri" w:hAnsi="Calibri"/>
          <w:color w:val="FF0000"/>
          <w:sz w:val="20"/>
          <w:szCs w:val="20"/>
        </w:rPr>
        <w:t>(...)</w:t>
      </w:r>
      <w:commentRangeEnd w:id="18"/>
      <w:r>
        <w:commentReference w:id="18"/>
      </w:r>
      <w:r>
        <w:rPr>
          <w:rFonts w:cs="Calibri" w:ascii="Calibri" w:hAnsi="Calibri"/>
          <w:color w:val="FF0000"/>
          <w:sz w:val="20"/>
          <w:szCs w:val="20"/>
        </w:rPr>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cs="Calibri"/>
          <w:b/>
          <w:b/>
          <w:bCs/>
          <w:color w:val="FFFFFF"/>
        </w:rPr>
      </w:pPr>
      <w:commentRangeStart w:id="19"/>
      <w:r>
        <w:rPr>
          <w:rFonts w:cs="Calibri" w:ascii="Calibri" w:hAnsi="Calibri"/>
          <w:b/>
          <w:bCs/>
          <w:color w:val="FFFFFF"/>
        </w:rPr>
        <w:t>FORMA E CRITÉRIOS DE SELEÇÃO DO FORNECEDOR MEDIANTE O USO DO SISTEMA DE DISPENSA ELETRÔNICA (art. 6º, inciso XXIII, alínea ‘h’, da Lei nº 14.133/2021)</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 fornecedor será selecionado por meio da realização de procedimento de dispensa de licitação, na forma eletrônica, com fundamento na hipótese do art. 75, inciso </w:t>
      </w:r>
      <w:r>
        <w:rPr>
          <w:rFonts w:cs="Calibri" w:ascii="Calibri" w:hAnsi="Calibri"/>
          <w:color w:val="C9211E"/>
        </w:rPr>
        <w:t>xx</w:t>
      </w:r>
      <w:r>
        <w:rPr>
          <w:rFonts w:cs="Calibri" w:ascii="Calibri" w:hAnsi="Calibri"/>
          <w:color w:val="00000A"/>
        </w:rPr>
        <w:t xml:space="preserve"> da Lei n.º 14.133/2021 </w:t>
      </w:r>
      <w:r>
        <w:rPr>
          <w:rFonts w:cs="Calibri" w:ascii="Calibri" w:hAnsi="Calibri"/>
          <w:color w:val="C9211E"/>
        </w:rPr>
        <w:t>(indicar um dos incisos do art. 75, da Lei n.º 14.133/2021, conforme o caso concreto)</w:t>
      </w:r>
      <w:r>
        <w:rPr>
          <w:rFonts w:cs="Calibri" w:ascii="Calibri" w:hAnsi="Calibri"/>
          <w:color w:val="00000A"/>
        </w:rPr>
        <w:t xml:space="preserve">, que culminará com a seleção da proposta de </w:t>
      </w:r>
      <w:r>
        <w:rPr>
          <w:rFonts w:cs="Calibri" w:ascii="Calibri" w:hAnsi="Calibri"/>
          <w:color w:val="C9211E"/>
        </w:rPr>
        <w:t>...............(menor preço por grupo/item/global OU maior desconto)</w:t>
      </w:r>
      <w:r>
        <w:rPr>
          <w:rFonts w:cs="Calibri" w:ascii="Calibri" w:hAnsi="Calibri"/>
          <w:color w:val="00000A"/>
        </w:rPr>
        <w:t xml:space="preserve">.  </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As exigências de habilitação jurídica, fiscal, social e trabalhista são as usuais para a generalidade dos objetos, conforme disciplinado no Anexo I do Aviso de Contratação Direta.</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Os critérios de habilitação econômico-financeira a serem atendidos pelo fornecedor estão previstos no Anexo I do Aviso de Contratação Direta.</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Os critérios de habilitação técnica a serem atendidos pelo fornecedor serão:</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Comprovação de aptidão para o fornecimento de bens similares de complexidade tecnológica e operacional equivalente ou superior ao objeto desta contratação, ou com o item pertinente, por meio da apresentação de certidões ou atestados, por pessoas jurídicas de direito público ou privado, ou regularmente emitido(s) pelo conselho profissional competente, quando for o caso.</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3"/>
          <w:numId w:val="1"/>
        </w:numPr>
        <w:suppressAutoHyphens w:val="false"/>
        <w:ind w:left="1587" w:hanging="0"/>
        <w:jc w:val="both"/>
        <w:rPr>
          <w:rFonts w:ascii="Calibri" w:hAnsi="Calibri" w:cs="Calibri"/>
          <w:color w:val="C9211E"/>
        </w:rPr>
      </w:pPr>
      <w:r>
        <w:rPr>
          <w:rFonts w:cs="Calibri" w:ascii="Calibri" w:hAnsi="Calibri"/>
        </w:rPr>
        <w:t>Para fins da comprovação de que trata este subitem, os atestados deverão dizer respeito a contratos executados com as seguintes características mínimas:</w:t>
      </w:r>
    </w:p>
    <w:p>
      <w:pPr>
        <w:pStyle w:val="Normal"/>
        <w:numPr>
          <w:ilvl w:val="0"/>
          <w:numId w:val="3"/>
        </w:numPr>
        <w:suppressAutoHyphens w:val="false"/>
        <w:ind w:left="2891" w:hanging="0"/>
        <w:jc w:val="both"/>
        <w:rPr>
          <w:rFonts w:ascii="Calibri" w:hAnsi="Calibri" w:cs="Calibri"/>
          <w:color w:val="C9211E"/>
        </w:rPr>
      </w:pPr>
      <w:r>
        <w:rPr>
          <w:rFonts w:cs="Calibri" w:ascii="Calibri" w:hAnsi="Calibri"/>
          <w:color w:val="C9211E"/>
        </w:rPr>
        <w:t>(…)</w:t>
      </w:r>
    </w:p>
    <w:p>
      <w:pPr>
        <w:pStyle w:val="Normal"/>
        <w:suppressAutoHyphens w:val="false"/>
        <w:ind w:left="2891" w:hanging="0"/>
        <w:jc w:val="both"/>
        <w:rPr>
          <w:rFonts w:ascii="Calibri" w:hAnsi="Calibri" w:cs="Calibri"/>
          <w:color w:val="C9211E"/>
        </w:rPr>
      </w:pPr>
      <w:r>
        <w:rPr>
          <w:rFonts w:cs="Calibri" w:ascii="Calibri" w:hAnsi="Calibri"/>
          <w:color w:val="C9211E"/>
        </w:rPr>
      </w:r>
    </w:p>
    <w:p>
      <w:pPr>
        <w:pStyle w:val="Normal"/>
        <w:numPr>
          <w:ilvl w:val="3"/>
          <w:numId w:val="1"/>
        </w:numPr>
        <w:suppressAutoHyphens w:val="false"/>
        <w:ind w:left="1587" w:hanging="0"/>
        <w:jc w:val="both"/>
        <w:rPr>
          <w:rFonts w:ascii="Calibri" w:hAnsi="Calibri" w:cs="Calibri"/>
          <w:color w:val="C9211E"/>
        </w:rPr>
      </w:pPr>
      <w:r>
        <w:rPr>
          <w:rFonts w:cs="Calibri" w:ascii="Calibri" w:hAnsi="Calibri"/>
        </w:rPr>
        <w:t>Será admitida, para fins de comprovação de quantitativo mínimo, a apresentação e o somatório de diferentes atestados executados de forma concomitante.</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Os atestados de capacidade técnica poderão ser apresentados em nome da matriz ou da filial do fornecedor.</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O fornecedor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color w:val="C9211E"/>
        </w:rPr>
      </w:pPr>
      <w:r>
        <w:rPr>
          <w:rFonts w:cs="Calibri" w:ascii="Calibri" w:hAnsi="Calibri"/>
          <w:color w:val="C9211E"/>
        </w:rPr>
        <w:t xml:space="preserve">Prova de atendimento aos requisitos ........, previstos na lei ............: </w:t>
      </w:r>
      <w:commentRangeEnd w:id="19"/>
      <w:r>
        <w:commentReference w:id="19"/>
      </w:r>
      <w:r>
        <w:rPr>
          <w:rFonts w:cs="Calibri" w:ascii="Calibri" w:hAnsi="Calibri"/>
          <w:color w:val="C9211E"/>
        </w:rPr>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cs="Calibri"/>
          <w:b/>
          <w:b/>
          <w:bCs/>
          <w:color w:val="FFFFFF"/>
        </w:rPr>
      </w:pPr>
      <w:commentRangeStart w:id="20"/>
      <w:r>
        <w:rPr>
          <w:rFonts w:cs="Calibri" w:ascii="Calibri" w:hAnsi="Calibri"/>
          <w:b/>
          <w:bCs/>
          <w:color w:val="FFFFFF"/>
        </w:rPr>
        <w:t>FORMA E CRITÉRIOS DE SELEÇÃO DO FORNECEDOR (art. 6º, inciso XXIII, alínea ‘h’, da Lei nº 14.133/2021) (FORA DO SISTEMA)</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 fornecedor será selecionado por meio da realização de procedimento de dispensa de licitação, com fundamento na hipótese do art. 75, inciso </w:t>
      </w:r>
      <w:r>
        <w:rPr>
          <w:rFonts w:cs="Calibri" w:ascii="Calibri" w:hAnsi="Calibri"/>
          <w:color w:val="C9211E"/>
        </w:rPr>
        <w:t>xx</w:t>
      </w:r>
      <w:r>
        <w:rPr>
          <w:rFonts w:cs="Calibri" w:ascii="Calibri" w:hAnsi="Calibri"/>
          <w:color w:val="00000A"/>
        </w:rPr>
        <w:t xml:space="preserve">, da Lei nº 14.133/2021 </w:t>
      </w:r>
      <w:r>
        <w:rPr>
          <w:rFonts w:cs="Calibri" w:ascii="Calibri" w:hAnsi="Calibri"/>
          <w:color w:val="C9211E"/>
        </w:rPr>
        <w:t>(indicar um dos incisos do art. 75, da Lei nº 14.133/2021, conforme o caso concreto).</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color w:val="C9211E"/>
        </w:rPr>
      </w:pPr>
      <w:r>
        <w:rPr>
          <w:rFonts w:cs="Calibri" w:ascii="Calibri" w:hAnsi="Calibri"/>
          <w:color w:val="C9211E"/>
        </w:rPr>
        <w:t>Ou</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 fornecedor será selecionado por meio da realização de procedimento de inexigibilidade de licitação, com fundamento na hipótese do art. 74, </w:t>
      </w:r>
      <w:r>
        <w:rPr>
          <w:rFonts w:cs="Calibri" w:ascii="Calibri" w:hAnsi="Calibri"/>
          <w:color w:val="C9211E"/>
        </w:rPr>
        <w:t>xx</w:t>
      </w:r>
      <w:r>
        <w:rPr>
          <w:rFonts w:cs="Calibri" w:ascii="Calibri" w:hAnsi="Calibri"/>
          <w:color w:val="00000A"/>
        </w:rPr>
        <w:t xml:space="preserve">, da Lei nº 14.133/2021 </w:t>
      </w:r>
      <w:r>
        <w:rPr>
          <w:rFonts w:cs="Calibri" w:ascii="Calibri" w:hAnsi="Calibri"/>
          <w:color w:val="C9211E"/>
        </w:rPr>
        <w:t xml:space="preserve">(indicar o caput ou um dos incisos do art. 74, da Lei nº 14.133/2021, conforme o caso concreto). </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Previamente à celebração do contrato, a Administração verificará o eventual descumprimento das condições para contratação, especialmente quanto à existência de sanção que a impeça, mediante a consulta a cadastros informativos oficiais, tais como:</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0"/>
          <w:numId w:val="4"/>
        </w:numPr>
        <w:suppressAutoHyphens w:val="false"/>
        <w:ind w:left="794" w:hanging="0"/>
        <w:jc w:val="both"/>
        <w:rPr>
          <w:rFonts w:ascii="Calibri" w:hAnsi="Calibri" w:cs="Calibri"/>
        </w:rPr>
      </w:pPr>
      <w:r>
        <w:rPr>
          <w:rFonts w:cs="Calibri" w:ascii="Calibri" w:hAnsi="Calibri"/>
        </w:rPr>
        <w:t>SICAF;</w:t>
      </w:r>
    </w:p>
    <w:p>
      <w:pPr>
        <w:pStyle w:val="Normal"/>
        <w:numPr>
          <w:ilvl w:val="0"/>
          <w:numId w:val="4"/>
        </w:numPr>
        <w:suppressAutoHyphens w:val="false"/>
        <w:ind w:left="794" w:hanging="0"/>
        <w:jc w:val="both"/>
        <w:rPr>
          <w:rFonts w:ascii="Calibri" w:hAnsi="Calibri" w:cs="Calibri"/>
        </w:rPr>
      </w:pPr>
      <w:r>
        <w:rPr>
          <w:rFonts w:cs="Calibri" w:ascii="Calibri" w:hAnsi="Calibri"/>
        </w:rPr>
        <w:t xml:space="preserve">Cadastro Nacional de Empresas Inidôneas e Suspensas - CEIS, mantido pela Controladoria-Geral da União (www.portaldatransparencia.gov.br/ceis);  </w:t>
      </w:r>
    </w:p>
    <w:p>
      <w:pPr>
        <w:pStyle w:val="Normal"/>
        <w:numPr>
          <w:ilvl w:val="0"/>
          <w:numId w:val="4"/>
        </w:numPr>
        <w:suppressAutoHyphens w:val="false"/>
        <w:ind w:left="794" w:hanging="0"/>
        <w:jc w:val="both"/>
        <w:rPr>
          <w:rFonts w:ascii="Calibri" w:hAnsi="Calibri" w:cs="Calibri"/>
        </w:rPr>
      </w:pPr>
      <w:r>
        <w:rPr>
          <w:rFonts w:cs="Calibri" w:ascii="Calibri" w:hAnsi="Calibri"/>
        </w:rPr>
        <w:t>Cadastro Nacional de Empresas Punidas – CNEP, mantido pela Controladoria-Geral da União (https://www.portaltransparencia.gov.br/sancoes/cnep)</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 consulta aos cadastros será realizada em nome da empresa fornecedora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Caso conste na Consulta de Situação do Fornecedor a existência de Ocorrências Impeditivas Indiretas, o gestor diligenciará para verificar se houve fraude por parte das empresas apontadas no Relatório de Ocorrências Impeditivas Indiretas.</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 tentativa de burla será verificada por meio dos vínculos societários, linhas de fornecimento similares, dentre outros.</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 fornecedor será convocado para manifestação previamente a uma eventual negativa de contratação.</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Caso atendidas as condições para contratação, a habilitação do fornecedor será verificada por meio do SICAF, nos documentos por ele abrangidos.</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É dever do fornecedor manter atualizada a respectiva documentação constante do SICAF, ou encaminhar, quando solicitado pela Administração, a documentação atualizada.</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Não serão aceitos documentos de habilitação com indicação de CNPJ/CPF diferentes, salvo aqueles legalmente permitidos.</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Se o fornecedor for a matriz, todos os documentos deverão estar em nome da matriz, e se o fornecedor for a filial, todos os documentos deverão estar em nome da filial, exceto para atestados de capacidade técnica, caso exigidos, e no caso daqueles documentos que, pela própria natureza, comprovadamente, forem emitidos somente em nome da matriz.</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Serão aceitos registros de CNPJ de fornecedor, matriz e filial, com diferenças de números de documentos pertinentes ao CND e ao CRF/FGTS, quando for comprovada a centralização do recolhimento dessas contribuições.</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Para fins de contratação, deverá o fornecedor comprovar os seguintes requisitos de habilitação:</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Habilitação Jurídica:</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Pessoa física: cédula de identidade (RG) ou documento equivalente que, por força de lei, tenha validade para fins de identificação em todo o território nacional;</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color w:val="C9211E"/>
        </w:rPr>
      </w:pPr>
      <w:r>
        <w:rPr>
          <w:rFonts w:cs="Calibri" w:ascii="Calibri" w:hAnsi="Calibri"/>
          <w:color w:val="C9211E"/>
        </w:rPr>
        <w:t>ou</w:t>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Empresário individual: inscrição no Registro Público de Empresas Mercantis, a cargo da Junta Comercial da respectiva sede;</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color w:val="C9211E"/>
        </w:rPr>
      </w:pPr>
      <w:r>
        <w:rPr>
          <w:rFonts w:cs="Calibri" w:ascii="Calibri" w:hAnsi="Calibri"/>
          <w:color w:val="C9211E"/>
        </w:rPr>
        <w:t>ou</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Microempreendedor Individual - MEI: Certificado da Condição de Microempreendedor Individual - CCMEI, cuja aceitação ficará condicionada à verificação da autenticidade no sítio www.portaldoempreendedor.gov.br;</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color w:val="C9211E"/>
        </w:rPr>
      </w:pPr>
      <w:r>
        <w:rPr>
          <w:rFonts w:cs="Calibri" w:ascii="Calibri" w:hAnsi="Calibri"/>
          <w:color w:val="C9211E"/>
        </w:rPr>
        <w:t>ou</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color w:val="C9211E"/>
        </w:rPr>
      </w:pPr>
      <w:r>
        <w:rPr>
          <w:rFonts w:cs="Calibri" w:ascii="Calibri" w:hAnsi="Calibri"/>
          <w:color w:val="C9211E"/>
        </w:rPr>
        <w:t>ou</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Sociedade empresária estrangeira com atuação permanente no País: decreto de autorização para funcionamento no Brasil;</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color w:val="C9211E"/>
        </w:rPr>
      </w:pPr>
      <w:r>
        <w:rPr>
          <w:rFonts w:cs="Calibri" w:ascii="Calibri" w:hAnsi="Calibri"/>
          <w:color w:val="C9211E"/>
        </w:rPr>
        <w:t>ou</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Sociedade simples: inscrição do ato constitutivo no Registro Civil de Pessoas Jurídicas do local de sua sede, acompanhada de documento comprobatório de seus administradores;</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color w:val="C9211E"/>
        </w:rPr>
      </w:pPr>
      <w:r>
        <w:rPr>
          <w:rFonts w:cs="Calibri" w:ascii="Calibri" w:hAnsi="Calibri"/>
          <w:color w:val="C9211E"/>
        </w:rPr>
        <w:t>ou</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Filial, sucursal ou agência de sociedade simples ou empresária - inscrição do ato constitutivo da filial, sucursal ou agência da sociedade simples ou empresária, respectivamente, no Registro Civil das Pessoas Jurídicas ou no Registro Público de Empresas Mercantis onde tem sede a matriz;</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color w:val="C9211E"/>
        </w:rPr>
      </w:pPr>
      <w:r>
        <w:rPr>
          <w:rFonts w:cs="Calibri" w:ascii="Calibri" w:hAnsi="Calibri"/>
          <w:color w:val="C9211E"/>
        </w:rPr>
        <w:t>ou</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Sociedade cooperativa: ata de fundação e estatuto social, com a ata da assembleia que o aprovou, devidamente arquivado na Junta Comercial ou inscrito no Registro Civil das Pessoas Jurídicas da respectiva sede, além do registro de que trata o art. 107 da Lei nº 5.764, de 1971.</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color w:val="C9211E"/>
        </w:rPr>
      </w:pPr>
      <w:r>
        <w:rPr>
          <w:rFonts w:cs="Calibri" w:ascii="Calibri" w:hAnsi="Calibri"/>
          <w:color w:val="C9211E"/>
        </w:rPr>
        <w:t>ou</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color w:val="C9211E"/>
        </w:rPr>
      </w:pPr>
      <w:r>
        <w:rPr>
          <w:rFonts w:cs="Calibri" w:ascii="Calibri" w:hAnsi="Calibri"/>
          <w:color w:val="C9211E"/>
        </w:rPr>
        <w:t>Ato de autorização para o exercício da atividade de ............ (especificar a atividade contratada sujeita à autorização), expedido por ....... (especificar o órgão competente) nos termos do art. ..... da (Lei/Decreto) n° ........</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Os documentos apresentados deverão estar acompanhados de todas as alterações ou da consolidação respectiva.</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Habilitações fiscal, social e trabalhista:</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prova de inscrição no Cadastro de Pessoas Físicas (CPF);</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color w:val="C9211E"/>
        </w:rPr>
      </w:pPr>
      <w:r>
        <w:rPr>
          <w:rFonts w:cs="Calibri" w:ascii="Calibri" w:hAnsi="Calibri"/>
          <w:color w:val="C9211E"/>
        </w:rPr>
        <w:t>ou</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prova de inscrição no Cadastro Nacional da Pessoa Jurídica (CNPJ);</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prova de regularidade com o Fundo de Garantia do Tempo de Serviço (FGTS);</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declaração de que não emprega menor de 18 anos em trabalho noturno, perigoso ou insalubre e não emprega menor de 16 anos, salvo menor, a partir de 14 anos, na condição de aprendiz, nos termos do artigo 7°, XXXIII, da Constituição;</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prova de inexistência de débitos inadimplidos perante à Justiça do Trabalho, mediante a apresentação de certidão negativa ou positiva com efeito de negativa, nos termos do Título VII-A da Consolidação das Leis do Trabalho, aprovada pelo Decreto-Lei nº 5.452, de 1º de maio de 1943.</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prova de inscrição no cadastro de contribuintes estadual, se houver, relativo ao domicílio ou sede do fornecedor, pertinente ao seu ramo de atividade e compatível com o objeto contratual;</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3"/>
          <w:numId w:val="1"/>
        </w:numPr>
        <w:suppressAutoHyphens w:val="false"/>
        <w:ind w:left="1587" w:hanging="0"/>
        <w:jc w:val="both"/>
        <w:rPr>
          <w:rFonts w:ascii="Calibri" w:hAnsi="Calibri" w:cs="Calibri"/>
          <w:color w:val="00000A"/>
        </w:rPr>
      </w:pPr>
      <w:r>
        <w:rPr>
          <w:rFonts w:cs="Calibri" w:ascii="Calibri" w:hAnsi="Calibri"/>
        </w:rPr>
        <w:t>O fornecedor enquadrado como microempreendedor individual que pretenda auferir os benefícios do tratamento diferenciado previstos na Lei Complementar n. 123, de 2006, estará dispensado da prova de inscrição nos cadastros de contribuintes estadual e municipal.</w:t>
      </w:r>
    </w:p>
    <w:p>
      <w:pPr>
        <w:pStyle w:val="Normal"/>
        <w:suppressAutoHyphens w:val="false"/>
        <w:ind w:left="1587" w:hanging="0"/>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rPr>
        <w:t>prova de regularidade com a Fazenda Estadual ou Distrital do domicílio ou sede do fornecedor, relativa à atividade em cujo exercício contrata ou concorre;</w:t>
      </w:r>
    </w:p>
    <w:p>
      <w:pPr>
        <w:pStyle w:val="Normal"/>
        <w:numPr>
          <w:ilvl w:val="3"/>
          <w:numId w:val="1"/>
        </w:numPr>
        <w:suppressAutoHyphens w:val="false"/>
        <w:ind w:left="1587" w:hanging="0"/>
        <w:jc w:val="both"/>
        <w:rPr>
          <w:rFonts w:ascii="Calibri" w:hAnsi="Calibri" w:cs="Calibri"/>
          <w:color w:val="00000A"/>
        </w:rPr>
      </w:pPr>
      <w:r>
        <w:rPr>
          <w:rFonts w:cs="Calibri" w:ascii="Calibri" w:hAnsi="Calibri"/>
        </w:rPr>
        <w:t>caso o fornecedor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color w:val="C9211E"/>
        </w:rPr>
      </w:pPr>
      <w:r>
        <w:rPr>
          <w:rFonts w:cs="Calibri" w:ascii="Calibri" w:hAnsi="Calibri"/>
          <w:color w:val="C9211E"/>
        </w:rPr>
        <w:t>Será exigida do fornecedor, ainda, a seguinte documentação complementar:</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color w:val="C9211E"/>
        </w:rPr>
      </w:pPr>
      <w:r>
        <w:rPr>
          <w:rFonts w:cs="Calibri" w:ascii="Calibri" w:hAnsi="Calibri"/>
          <w:color w:val="C9211E"/>
        </w:rPr>
        <w:t>A relação dos cooperados que atendem aos requisitos técnicos exigidos para a contratação e que executarão o contrato, com as respectivas atas de inscrição e a comprovação de que estão domiciliados na localidade da sede da cooperativa, respeitado o disposto nos arts. 4º, inciso XI, 21, inciso I e 42, §§2º a 6º da Lei n. 5.764 de 1971;</w:t>
      </w:r>
    </w:p>
    <w:p>
      <w:pPr>
        <w:pStyle w:val="Normal"/>
        <w:suppressAutoHyphens w:val="false"/>
        <w:ind w:left="794" w:hanging="0"/>
        <w:jc w:val="both"/>
        <w:rPr>
          <w:color w:val="C9211E"/>
        </w:rPr>
      </w:pPr>
      <w:r>
        <w:rPr>
          <w:color w:val="C9211E"/>
        </w:rPr>
      </w:r>
    </w:p>
    <w:p>
      <w:pPr>
        <w:pStyle w:val="Normal"/>
        <w:numPr>
          <w:ilvl w:val="2"/>
          <w:numId w:val="1"/>
        </w:numPr>
        <w:suppressAutoHyphens w:val="false"/>
        <w:ind w:left="794" w:hanging="0"/>
        <w:jc w:val="both"/>
        <w:rPr>
          <w:color w:val="C9211E"/>
        </w:rPr>
      </w:pPr>
      <w:r>
        <w:rPr>
          <w:rFonts w:cs="Calibri" w:ascii="Calibri" w:hAnsi="Calibri"/>
          <w:color w:val="C9211E"/>
        </w:rPr>
        <w:t>A declaração de regularidade de situação do contribuinte individual – DRSCI, para cada um dos cooperados indicados;</w:t>
      </w:r>
    </w:p>
    <w:p>
      <w:pPr>
        <w:pStyle w:val="Normal"/>
        <w:suppressAutoHyphens w:val="false"/>
        <w:ind w:left="794" w:hanging="0"/>
        <w:jc w:val="both"/>
        <w:rPr>
          <w:color w:val="C9211E"/>
        </w:rPr>
      </w:pPr>
      <w:r>
        <w:rPr>
          <w:color w:val="C9211E"/>
        </w:rPr>
      </w:r>
    </w:p>
    <w:p>
      <w:pPr>
        <w:pStyle w:val="Normal"/>
        <w:numPr>
          <w:ilvl w:val="2"/>
          <w:numId w:val="1"/>
        </w:numPr>
        <w:suppressAutoHyphens w:val="false"/>
        <w:ind w:left="794" w:hanging="0"/>
        <w:jc w:val="both"/>
        <w:rPr>
          <w:color w:val="C9211E"/>
        </w:rPr>
      </w:pPr>
      <w:r>
        <w:rPr>
          <w:rFonts w:cs="Calibri" w:ascii="Calibri" w:hAnsi="Calibri"/>
          <w:color w:val="C9211E"/>
        </w:rPr>
        <w:t xml:space="preserve">A comprovação do capital social proporcional ao número de cooperados necessários à prestação do serviço; </w:t>
      </w:r>
    </w:p>
    <w:p>
      <w:pPr>
        <w:pStyle w:val="Normal"/>
        <w:suppressAutoHyphens w:val="false"/>
        <w:ind w:left="794" w:hanging="0"/>
        <w:jc w:val="both"/>
        <w:rPr>
          <w:color w:val="C9211E"/>
        </w:rPr>
      </w:pPr>
      <w:r>
        <w:rPr>
          <w:color w:val="C9211E"/>
        </w:rPr>
      </w:r>
    </w:p>
    <w:p>
      <w:pPr>
        <w:pStyle w:val="Normal"/>
        <w:numPr>
          <w:ilvl w:val="2"/>
          <w:numId w:val="1"/>
        </w:numPr>
        <w:suppressAutoHyphens w:val="false"/>
        <w:ind w:left="794" w:hanging="0"/>
        <w:jc w:val="both"/>
        <w:rPr>
          <w:color w:val="C9211E"/>
        </w:rPr>
      </w:pPr>
      <w:r>
        <w:rPr>
          <w:rFonts w:cs="Calibri" w:ascii="Calibri" w:hAnsi="Calibri"/>
          <w:color w:val="C9211E"/>
        </w:rPr>
        <w:t>O registro previsto na Lei n. 5.764/71, art. 107;</w:t>
      </w:r>
    </w:p>
    <w:p>
      <w:pPr>
        <w:pStyle w:val="Normal"/>
        <w:suppressAutoHyphens w:val="false"/>
        <w:ind w:left="794" w:hanging="0"/>
        <w:jc w:val="both"/>
        <w:rPr>
          <w:color w:val="C9211E"/>
        </w:rPr>
      </w:pPr>
      <w:r>
        <w:rPr>
          <w:color w:val="C9211E"/>
        </w:rPr>
      </w:r>
    </w:p>
    <w:p>
      <w:pPr>
        <w:pStyle w:val="Normal"/>
        <w:numPr>
          <w:ilvl w:val="2"/>
          <w:numId w:val="1"/>
        </w:numPr>
        <w:suppressAutoHyphens w:val="false"/>
        <w:ind w:left="794" w:hanging="0"/>
        <w:jc w:val="both"/>
        <w:rPr>
          <w:color w:val="C9211E"/>
        </w:rPr>
      </w:pPr>
      <w:r>
        <w:rPr>
          <w:rFonts w:cs="Calibri" w:ascii="Calibri" w:hAnsi="Calibri"/>
          <w:color w:val="C9211E"/>
        </w:rPr>
        <w:t xml:space="preserve">A comprovação de integração das respectivas quotas-partes por parte dos cooperados que executarão o contrato; </w:t>
      </w:r>
    </w:p>
    <w:p>
      <w:pPr>
        <w:pStyle w:val="Normal"/>
        <w:suppressAutoHyphens w:val="false"/>
        <w:ind w:left="794" w:hanging="0"/>
        <w:jc w:val="both"/>
        <w:rPr>
          <w:color w:val="C9211E"/>
        </w:rPr>
      </w:pPr>
      <w:r>
        <w:rPr>
          <w:color w:val="C9211E"/>
        </w:rPr>
      </w:r>
    </w:p>
    <w:p>
      <w:pPr>
        <w:pStyle w:val="Normal"/>
        <w:numPr>
          <w:ilvl w:val="2"/>
          <w:numId w:val="1"/>
        </w:numPr>
        <w:suppressAutoHyphens w:val="false"/>
        <w:ind w:left="794" w:hanging="0"/>
        <w:jc w:val="both"/>
        <w:rPr>
          <w:color w:val="C9211E"/>
        </w:rPr>
      </w:pPr>
      <w:r>
        <w:rPr>
          <w:rFonts w:cs="Calibri" w:ascii="Calibri" w:hAnsi="Calibri"/>
          <w:color w:val="C9211E"/>
        </w:rPr>
        <w:t>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contratação;</w:t>
      </w:r>
    </w:p>
    <w:p>
      <w:pPr>
        <w:pStyle w:val="Normal"/>
        <w:suppressAutoHyphens w:val="false"/>
        <w:ind w:left="794" w:hanging="0"/>
        <w:jc w:val="both"/>
        <w:rPr>
          <w:color w:val="C9211E"/>
        </w:rPr>
      </w:pPr>
      <w:r>
        <w:rPr>
          <w:color w:val="C9211E"/>
        </w:rPr>
      </w:r>
    </w:p>
    <w:p>
      <w:pPr>
        <w:pStyle w:val="Normal"/>
        <w:numPr>
          <w:ilvl w:val="2"/>
          <w:numId w:val="1"/>
        </w:numPr>
        <w:suppressAutoHyphens w:val="false"/>
        <w:ind w:left="794" w:hanging="0"/>
        <w:jc w:val="both"/>
        <w:rPr>
          <w:color w:val="C9211E"/>
        </w:rPr>
      </w:pPr>
      <w:r>
        <w:rPr>
          <w:rFonts w:cs="Calibri" w:ascii="Calibri" w:hAnsi="Calibri"/>
          <w:color w:val="C9211E"/>
        </w:rPr>
        <w:t>A última auditoria contábil-financeira da cooperativa, conforme dispõe o art. 112 da Lei n. 5.764/71 ou uma declaração, sob as penas da lei, de que tal auditoria não foi exigida pelo órgão fiscalizador.</w:t>
      </w:r>
      <w:commentRangeEnd w:id="20"/>
      <w:r>
        <w:commentReference w:id="20"/>
      </w:r>
      <w:r>
        <w:rPr>
          <w:rFonts w:cs="Calibri" w:ascii="Calibri" w:hAnsi="Calibri"/>
          <w:color w:val="C9211E"/>
        </w:rPr>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0"/>
          <w:numId w:val="1"/>
        </w:numPr>
        <w:shd w:val="clear" w:color="auto" w:fill="38AB81"/>
        <w:jc w:val="both"/>
        <w:rPr>
          <w:rFonts w:ascii="Calibri" w:hAnsi="Calibri" w:cs="Calibri"/>
          <w:b/>
          <w:b/>
          <w:bCs/>
          <w:color w:val="FFFFFF"/>
        </w:rPr>
      </w:pPr>
      <w:r>
        <w:rPr>
          <w:rFonts w:cs="Calibri" w:ascii="Calibri" w:hAnsi="Calibri"/>
          <w:b/>
          <w:bCs/>
          <w:color w:val="FFFFFF"/>
        </w:rPr>
        <w:t>ADEQUAÇÃO ORÇAMENTÁRIA</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00000A"/>
        </w:rPr>
      </w:pPr>
      <w:r>
        <w:rPr>
          <w:rFonts w:cs="Calibri" w:ascii="Calibri" w:hAnsi="Calibri"/>
          <w:color w:val="00000A"/>
        </w:rPr>
        <w:t>As despesas decorrentes da presente contratação correrão à conta de recursos específicos consignados no orçamento do CREMERJ deste exercício, na dotação abaixo discriminada:</w:t>
      </w:r>
    </w:p>
    <w:p>
      <w:pPr>
        <w:pStyle w:val="Normal"/>
        <w:snapToGrid w:val="false"/>
        <w:jc w:val="both"/>
        <w:rPr>
          <w:rFonts w:ascii="Calibri" w:hAnsi="Calibri" w:cs="Calibri"/>
          <w:color w:val="000000"/>
          <w:lang w:eastAsia="en-US"/>
        </w:rPr>
      </w:pPr>
      <w:r>
        <w:rPr>
          <w:rFonts w:cs="Calibri" w:ascii="Calibri" w:hAnsi="Calibri"/>
          <w:color w:val="000000"/>
          <w:lang w:eastAsia="en-US"/>
        </w:rPr>
      </w:r>
    </w:p>
    <w:tbl>
      <w:tblPr>
        <w:tblW w:w="9754"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6859"/>
        <w:gridCol w:w="1441"/>
        <w:gridCol w:w="1454"/>
      </w:tblGrid>
      <w:tr>
        <w:trPr/>
        <w:tc>
          <w:tcPr>
            <w:tcW w:w="6859"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sz w:val="20"/>
                <w:szCs w:val="20"/>
              </w:rPr>
            </w:pPr>
            <w:r>
              <w:rPr>
                <w:rFonts w:cs="Calibri" w:ascii="Calibri" w:hAnsi="Calibri"/>
                <w:b/>
                <w:bCs/>
                <w:color w:val="FFFFFF"/>
                <w:sz w:val="20"/>
                <w:szCs w:val="20"/>
              </w:rPr>
              <w:t>ELEMENTO DE DESPESA</w:t>
            </w:r>
          </w:p>
        </w:tc>
        <w:tc>
          <w:tcPr>
            <w:tcW w:w="1441"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PRÉ-EMPENHO</w:t>
            </w:r>
          </w:p>
        </w:tc>
        <w:tc>
          <w:tcPr>
            <w:tcW w:w="1454" w:type="dxa"/>
            <w:tcBorders>
              <w:top w:val="single" w:sz="2" w:space="0" w:color="000000"/>
              <w:left w:val="single" w:sz="2" w:space="0" w:color="000000"/>
              <w:bottom w:val="single" w:sz="2" w:space="0" w:color="000000"/>
              <w:right w:val="single" w:sz="2" w:space="0" w:color="000000"/>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VALOR GLOBAL</w:t>
            </w:r>
          </w:p>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ESTIMADO</w:t>
            </w:r>
          </w:p>
        </w:tc>
      </w:tr>
      <w:tr>
        <w:trPr>
          <w:trHeight w:val="439" w:hRule="atLeast"/>
        </w:trPr>
        <w:tc>
          <w:tcPr>
            <w:tcW w:w="6859" w:type="dxa"/>
            <w:tcBorders>
              <w:left w:val="single" w:sz="2" w:space="0" w:color="000000"/>
              <w:bottom w:val="single" w:sz="2" w:space="0" w:color="000000"/>
            </w:tcBorders>
            <w:vAlign w:val="center"/>
          </w:tcPr>
          <w:p>
            <w:pPr>
              <w:pStyle w:val="Contedodatabela"/>
              <w:widowControl w:val="false"/>
              <w:jc w:val="center"/>
              <w:rPr>
                <w:color w:val="C9211E"/>
                <w:sz w:val="20"/>
                <w:szCs w:val="20"/>
              </w:rPr>
            </w:pPr>
            <w:r>
              <w:rPr>
                <w:rFonts w:cs="Calibri" w:ascii="Calibri" w:hAnsi="Calibri" w:asciiTheme="minorHAnsi" w:cstheme="minorHAnsi" w:hAnsiTheme="minorHAnsi"/>
                <w:color w:val="C9211E"/>
                <w:sz w:val="20"/>
                <w:szCs w:val="20"/>
                <w:shd w:fill="FFFFFF" w:val="clear"/>
              </w:rPr>
              <w:t>6.2.2.1.1.33.90.30.010 – Nome_Conta</w:t>
            </w:r>
          </w:p>
        </w:tc>
        <w:tc>
          <w:tcPr>
            <w:tcW w:w="1441" w:type="dxa"/>
            <w:tcBorders>
              <w:left w:val="single" w:sz="2" w:space="0" w:color="000000"/>
              <w:bottom w:val="single" w:sz="2" w:space="0" w:color="000000"/>
            </w:tcBorders>
            <w:vAlign w:val="center"/>
          </w:tcPr>
          <w:p>
            <w:pPr>
              <w:pStyle w:val="Contedodatabela"/>
              <w:widowControl w:val="false"/>
              <w:snapToGrid w:val="false"/>
              <w:jc w:val="center"/>
              <w:rPr>
                <w:rFonts w:ascii="Calibri" w:hAnsi="Calibri" w:cs="Calibri" w:asciiTheme="minorHAnsi" w:cstheme="minorHAnsi" w:hAnsiTheme="minorHAnsi"/>
                <w:color w:val="C9211E"/>
                <w:sz w:val="20"/>
                <w:szCs w:val="20"/>
              </w:rPr>
            </w:pPr>
            <w:r>
              <w:rPr>
                <w:rFonts w:cs="Calibri" w:ascii="Calibri" w:hAnsi="Calibri" w:cstheme="minorHAnsi"/>
                <w:color w:val="C9211E"/>
                <w:sz w:val="20"/>
                <w:szCs w:val="20"/>
              </w:rPr>
              <w:t>XX/2023</w:t>
            </w:r>
          </w:p>
        </w:tc>
        <w:tc>
          <w:tcPr>
            <w:tcW w:w="1454" w:type="dxa"/>
            <w:tcBorders>
              <w:left w:val="single" w:sz="2" w:space="0" w:color="000000"/>
              <w:bottom w:val="single" w:sz="2" w:space="0" w:color="000000"/>
              <w:right w:val="single" w:sz="2" w:space="0" w:color="000000"/>
            </w:tcBorders>
            <w:vAlign w:val="center"/>
          </w:tcPr>
          <w:p>
            <w:pPr>
              <w:pStyle w:val="Contedodatabela"/>
              <w:widowControl w:val="false"/>
              <w:snapToGrid w:val="false"/>
              <w:jc w:val="center"/>
              <w:rPr>
                <w:color w:val="C9211E"/>
                <w:sz w:val="20"/>
                <w:szCs w:val="20"/>
              </w:rPr>
            </w:pPr>
            <w:r>
              <w:rPr>
                <w:rFonts w:cs="Calibri" w:ascii="Calibri" w:hAnsi="Calibri" w:asciiTheme="minorHAnsi" w:cstheme="minorHAnsi" w:hAnsiTheme="minorHAnsi"/>
                <w:color w:val="C9211E"/>
                <w:sz w:val="20"/>
                <w:szCs w:val="20"/>
              </w:rPr>
              <w:t>R$ 0.000,00</w:t>
            </w:r>
          </w:p>
        </w:tc>
      </w:tr>
    </w:tbl>
    <w:p>
      <w:pPr>
        <w:pStyle w:val="Normal"/>
        <w:snapToGrid w:val="false"/>
        <w:jc w:val="both"/>
        <w:rPr>
          <w:rFonts w:ascii="Calibri" w:hAnsi="Calibri" w:cs="Calibri"/>
          <w:color w:val="000000"/>
          <w:lang w:eastAsia="en-US"/>
        </w:rPr>
      </w:pPr>
      <w:r>
        <w:rPr>
          <w:rFonts w:cs="Calibri" w:ascii="Calibri" w:hAnsi="Calibri"/>
          <w:color w:val="000000"/>
          <w:lang w:eastAsia="en-US"/>
        </w:rPr>
      </w:r>
    </w:p>
    <w:p>
      <w:pPr>
        <w:sectPr>
          <w:headerReference w:type="default" r:id="rId2"/>
          <w:footerReference w:type="default" r:id="rId3"/>
          <w:type w:val="nextPage"/>
          <w:pgSz w:w="11906" w:h="16838"/>
          <w:pgMar w:left="1077" w:right="1077" w:gutter="0" w:header="709" w:top="1900" w:footer="283" w:bottom="1587"/>
          <w:pgNumType w:fmt="decimal"/>
          <w:formProt w:val="false"/>
          <w:textDirection w:val="lrTb"/>
          <w:docGrid w:type="default" w:linePitch="312" w:charSpace="0"/>
        </w:sectPr>
        <w:pStyle w:val="Normal"/>
        <w:numPr>
          <w:ilvl w:val="1"/>
          <w:numId w:val="1"/>
        </w:numPr>
        <w:snapToGrid w:val="false"/>
        <w:ind w:left="0" w:hanging="0"/>
        <w:jc w:val="both"/>
        <w:rPr>
          <w:rFonts w:ascii="Calibri" w:hAnsi="Calibri" w:cs="Calibri"/>
          <w:color w:val="00000A"/>
        </w:rPr>
      </w:pPr>
      <w:r>
        <w:rPr>
          <w:rFonts w:cs="Calibri" w:ascii="Calibri" w:hAnsi="Calibri"/>
          <w:color w:val="00000A"/>
          <w:lang w:eastAsia="en-US"/>
        </w:rPr>
        <w:t>A dotação relativa aos exercícios financeiros subsequentes será indicada após aprovação do orçamento pela Diretoria do Cremerj e liberação dos créditos correspondentes, mediante apostilamento.</w:t>
      </w:r>
    </w:p>
    <w:p>
      <w:pPr>
        <w:pStyle w:val="Normal"/>
        <w:numPr>
          <w:ilvl w:val="0"/>
          <w:numId w:val="1"/>
        </w:numPr>
        <w:shd w:val="clear" w:color="auto" w:fill="38AB81"/>
        <w:jc w:val="both"/>
        <w:rPr>
          <w:rFonts w:ascii="Calibri" w:hAnsi="Calibri"/>
        </w:rPr>
      </w:pPr>
      <w:r>
        <w:rPr>
          <w:rFonts w:cs="Calibri" w:ascii="Calibri" w:hAnsi="Calibri"/>
          <w:b/>
          <w:bCs/>
          <w:color w:val="FFFFFF"/>
        </w:rPr>
        <w:t>DOS CASOS OMISSOS</w:t>
      </w:r>
    </w:p>
    <w:p>
      <w:pPr>
        <w:pStyle w:val="Normal"/>
        <w:jc w:val="both"/>
        <w:rPr>
          <w:rFonts w:ascii="Calibri" w:hAnsi="Calibri" w:cs="Calibri"/>
          <w:b/>
          <w:b/>
          <w:bCs/>
          <w:color w:val="FFFFFF"/>
        </w:rPr>
      </w:pPr>
      <w:r>
        <w:rPr>
          <w:rFonts w:cs="Calibri" w:ascii="Calibri" w:hAnsi="Calibri"/>
          <w:b/>
          <w:bCs/>
          <w:color w:val="FFFFFF"/>
        </w:rPr>
      </w:r>
    </w:p>
    <w:p>
      <w:pPr>
        <w:pStyle w:val="Normal"/>
        <w:numPr>
          <w:ilvl w:val="1"/>
          <w:numId w:val="1"/>
        </w:numPr>
        <w:snapToGrid w:val="false"/>
        <w:ind w:left="0" w:hanging="0"/>
        <w:jc w:val="both"/>
        <w:rPr>
          <w:rFonts w:ascii="Calibri" w:hAnsi="Calibri"/>
        </w:rPr>
      </w:pPr>
      <w:r>
        <w:rPr>
          <w:rFonts w:cs="Calibri" w:ascii="Calibri" w:hAnsi="Calibri"/>
          <w:color w:val="00000A"/>
        </w:rPr>
        <w:t xml:space="preserve">Os casos omissos serão decididos pela CONTRATANTE, segundo as disposições contidas na Lei nº 14.133, de 1º de abril de 2021, e demais normas federais de licitações e contratos administrativos e, subsidiariamente, segundo as disposições contidas na Lei nº 8.078, de 1990 – Código de Defesa do Consumidor – e normas e princípios gerais dos contratos. </w:t>
      </w:r>
    </w:p>
    <w:p>
      <w:pPr>
        <w:pStyle w:val="Normal"/>
        <w:snapToGrid w:val="false"/>
        <w:jc w:val="both"/>
        <w:rPr>
          <w:rFonts w:ascii="Calibri" w:hAnsi="Calibri"/>
        </w:rPr>
      </w:pPr>
      <w:r>
        <w:rPr>
          <w:rFonts w:ascii="Calibri" w:hAnsi="Calibri"/>
        </w:rPr>
      </w:r>
    </w:p>
    <w:p>
      <w:pPr>
        <w:pStyle w:val="Normal"/>
        <w:snapToGrid w:val="false"/>
        <w:ind w:left="794" w:hanging="0"/>
        <w:jc w:val="right"/>
        <w:rPr>
          <w:rFonts w:ascii="Calibri" w:hAnsi="Calibri"/>
        </w:rPr>
      </w:pPr>
      <w:commentRangeStart w:id="21"/>
      <w:r>
        <w:rPr>
          <w:rFonts w:cs="Calibri" w:ascii="Calibri" w:hAnsi="Calibri" w:cstheme="minorHAnsi"/>
          <w:color w:val="000000"/>
        </w:rPr>
        <w:t>Rio de Janeiro, xx</w:t>
      </w:r>
      <w:r>
        <w:rPr>
          <w:rFonts w:cs="Calibri" w:ascii="Calibri" w:hAnsi="Calibri" w:cstheme="minorHAnsi"/>
        </w:rPr>
        <w:t xml:space="preserve"> de xxxxx de 2023</w:t>
      </w:r>
      <w:r>
        <w:rPr>
          <w:rFonts w:cs="Calibri" w:ascii="Calibri" w:hAnsi="Calibri"/>
          <w:color w:val="000000"/>
        </w:rPr>
        <w:t>.</w:t>
      </w:r>
      <w:commentRangeEnd w:id="21"/>
      <w:r>
        <w:commentReference w:id="21"/>
      </w:r>
      <w:r>
        <w:rPr>
          <w:rFonts w:cs="Calibri" w:ascii="Calibri" w:hAnsi="Calibri"/>
          <w:color w:val="000000"/>
        </w:rPr>
      </w:r>
    </w:p>
    <w:p>
      <w:pPr>
        <w:pStyle w:val="Normal"/>
        <w:snapToGrid w:val="false"/>
        <w:ind w:left="794" w:hanging="0"/>
        <w:jc w:val="right"/>
        <w:rPr>
          <w:rFonts w:ascii="Calibri" w:hAnsi="Calibri" w:cs="Calibri"/>
          <w:color w:val="000000"/>
        </w:rPr>
      </w:pPr>
      <w:r>
        <w:rPr>
          <w:rFonts w:cs="Calibri" w:ascii="Calibri" w:hAnsi="Calibri"/>
          <w:color w:val="000000"/>
        </w:rPr>
      </w:r>
    </w:p>
    <w:tbl>
      <w:tblPr>
        <w:tblW w:w="9752" w:type="dxa"/>
        <w:jc w:val="left"/>
        <w:tblInd w:w="115" w:type="dxa"/>
        <w:tblLayout w:type="fixed"/>
        <w:tblCellMar>
          <w:top w:w="55" w:type="dxa"/>
          <w:left w:w="55" w:type="dxa"/>
          <w:bottom w:w="55" w:type="dxa"/>
          <w:right w:w="55" w:type="dxa"/>
        </w:tblCellMar>
        <w:tblLook w:firstRow="1" w:noVBand="1" w:lastRow="0" w:firstColumn="1" w:lastColumn="0" w:noHBand="0" w:val="04a0"/>
      </w:tblPr>
      <w:tblGrid>
        <w:gridCol w:w="4876"/>
        <w:gridCol w:w="4875"/>
      </w:tblGrid>
      <w:tr>
        <w:trPr/>
        <w:tc>
          <w:tcPr>
            <w:tcW w:w="4876" w:type="dxa"/>
            <w:tcBorders>
              <w:top w:val="single" w:sz="2" w:space="0" w:color="000000"/>
              <w:left w:val="single" w:sz="2" w:space="0" w:color="000000"/>
              <w:bottom w:val="single" w:sz="2" w:space="0" w:color="000000"/>
            </w:tcBorders>
          </w:tcPr>
          <w:p>
            <w:pPr>
              <w:pStyle w:val="Contedodatabela"/>
              <w:widowControl w:val="false"/>
              <w:jc w:val="center"/>
              <w:rPr>
                <w:rFonts w:ascii="Calibri" w:hAnsi="Calibri"/>
              </w:rPr>
            </w:pPr>
            <w:r>
              <w:rPr>
                <w:rFonts w:ascii="Calibri" w:hAnsi="Calibri"/>
              </w:rPr>
              <w:t>Elaboração do Termo de Referência</w:t>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t>_______________________</w:t>
            </w:r>
          </w:p>
          <w:p>
            <w:pPr>
              <w:pStyle w:val="Contedodatabela"/>
              <w:widowControl w:val="false"/>
              <w:jc w:val="center"/>
              <w:rPr>
                <w:rFonts w:ascii="Calibri" w:hAnsi="Calibri"/>
                <w:color w:val="C9211E"/>
              </w:rPr>
            </w:pPr>
            <w:commentRangeStart w:id="22"/>
            <w:r>
              <w:rPr>
                <w:rFonts w:ascii="Calibri" w:hAnsi="Calibri"/>
                <w:color w:val="C9211E"/>
              </w:rPr>
              <w:t>Nome</w:t>
            </w:r>
          </w:p>
          <w:p>
            <w:pPr>
              <w:pStyle w:val="Contedodatabela"/>
              <w:widowControl w:val="false"/>
              <w:jc w:val="center"/>
              <w:rPr>
                <w:rFonts w:ascii="Calibri" w:hAnsi="Calibri"/>
                <w:color w:val="C9211E"/>
              </w:rPr>
            </w:pPr>
            <w:r>
              <w:rPr>
                <w:rFonts w:ascii="Calibri" w:hAnsi="Calibri"/>
                <w:color w:val="C9211E"/>
              </w:rPr>
              <w:t>Função Setor</w:t>
            </w:r>
          </w:p>
        </w:tc>
        <w:tc>
          <w:tcPr>
            <w:tcW w:w="4875" w:type="dxa"/>
            <w:tcBorders>
              <w:top w:val="single" w:sz="2" w:space="0" w:color="000000"/>
              <w:left w:val="single" w:sz="2" w:space="0" w:color="000000"/>
              <w:bottom w:val="single" w:sz="2" w:space="0" w:color="000000"/>
              <w:right w:val="single" w:sz="2" w:space="0" w:color="000000"/>
            </w:tcBorders>
          </w:tcPr>
          <w:p>
            <w:pPr>
              <w:pStyle w:val="Contedodatabela"/>
              <w:widowControl w:val="false"/>
              <w:jc w:val="center"/>
              <w:rPr>
                <w:rFonts w:ascii="Calibri" w:hAnsi="Calibri"/>
              </w:rPr>
            </w:pPr>
            <w:r>
              <w:rPr>
                <w:rFonts w:ascii="Calibri" w:hAnsi="Calibri"/>
              </w:rPr>
              <w:t>Aprovação Técnica</w:t>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t>_______________________</w:t>
            </w:r>
          </w:p>
          <w:p>
            <w:pPr>
              <w:pStyle w:val="Contedodatabela"/>
              <w:widowControl w:val="false"/>
              <w:jc w:val="center"/>
              <w:rPr>
                <w:rFonts w:ascii="Calibri" w:hAnsi="Calibri"/>
                <w:color w:val="C9211E"/>
              </w:rPr>
            </w:pPr>
            <w:r>
              <w:rPr>
                <w:rFonts w:ascii="Calibri" w:hAnsi="Calibri"/>
                <w:color w:val="C9211E"/>
              </w:rPr>
              <w:t>Nome</w:t>
            </w:r>
          </w:p>
          <w:p>
            <w:pPr>
              <w:pStyle w:val="Contedodatabela"/>
              <w:widowControl w:val="false"/>
              <w:jc w:val="center"/>
              <w:rPr>
                <w:rFonts w:ascii="Calibri" w:hAnsi="Calibri"/>
                <w:color w:val="C9211E"/>
              </w:rPr>
            </w:pPr>
            <w:r>
              <w:rPr>
                <w:rFonts w:ascii="Calibri" w:hAnsi="Calibri"/>
                <w:color w:val="C9211E"/>
              </w:rPr>
              <w:t>Função Setor</w:t>
            </w:r>
          </w:p>
        </w:tc>
      </w:tr>
      <w:tr>
        <w:trPr/>
        <w:tc>
          <w:tcPr>
            <w:tcW w:w="4876" w:type="dxa"/>
            <w:tcBorders>
              <w:left w:val="single" w:sz="2" w:space="0" w:color="000000"/>
              <w:bottom w:val="single" w:sz="2" w:space="0" w:color="000000"/>
            </w:tcBorders>
          </w:tcPr>
          <w:p>
            <w:pPr>
              <w:pStyle w:val="Contedodatabela"/>
              <w:widowControl w:val="false"/>
              <w:jc w:val="center"/>
              <w:rPr>
                <w:rFonts w:ascii="Calibri" w:hAnsi="Calibri"/>
              </w:rPr>
            </w:pPr>
            <w:r>
              <w:rPr>
                <w:rFonts w:ascii="Calibri" w:hAnsi="Calibri"/>
              </w:rPr>
              <w:t>Encaminha-se a Gerente-Geral</w:t>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t>_______________________</w:t>
            </w:r>
          </w:p>
          <w:p>
            <w:pPr>
              <w:pStyle w:val="Contedodatabela"/>
              <w:widowControl w:val="false"/>
              <w:jc w:val="center"/>
              <w:rPr>
                <w:rFonts w:ascii="Calibri" w:hAnsi="Calibri"/>
              </w:rPr>
            </w:pPr>
            <w:r>
              <w:rPr>
                <w:rFonts w:ascii="Calibri" w:hAnsi="Calibri"/>
              </w:rPr>
              <w:t>Nome</w:t>
            </w:r>
          </w:p>
          <w:p>
            <w:pPr>
              <w:pStyle w:val="Contedodatabela"/>
              <w:widowControl w:val="false"/>
              <w:jc w:val="center"/>
              <w:rPr>
                <w:rFonts w:ascii="Calibri" w:hAnsi="Calibri"/>
              </w:rPr>
            </w:pPr>
            <w:r>
              <w:rPr>
                <w:rFonts w:ascii="Calibri" w:hAnsi="Calibri"/>
              </w:rPr>
              <w:t>Gerente-Geral</w:t>
            </w:r>
          </w:p>
        </w:tc>
        <w:tc>
          <w:tcPr>
            <w:tcW w:w="4875" w:type="dxa"/>
            <w:tcBorders>
              <w:left w:val="single" w:sz="2" w:space="0" w:color="000000"/>
              <w:bottom w:val="single" w:sz="2" w:space="0" w:color="000000"/>
              <w:right w:val="single" w:sz="2" w:space="0" w:color="000000"/>
            </w:tcBorders>
          </w:tcPr>
          <w:p>
            <w:pPr>
              <w:pStyle w:val="Contedodatabela"/>
              <w:widowControl w:val="false"/>
              <w:jc w:val="center"/>
              <w:rPr>
                <w:rFonts w:ascii="Calibri" w:hAnsi="Calibri"/>
              </w:rPr>
            </w:pPr>
            <w:r>
              <w:rPr>
                <w:rFonts w:ascii="Calibri" w:hAnsi="Calibri"/>
              </w:rPr>
              <w:t>De acordo com as motivações presentes nos documentos deste processo, aprovo este Termo de Referência.</w:t>
            </w:r>
            <w:commentRangeEnd w:id="22"/>
            <w:r>
              <w:commentReference w:id="22"/>
            </w: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t>__________________________________</w:t>
            </w:r>
          </w:p>
          <w:p>
            <w:pPr>
              <w:pStyle w:val="Contedodatabela"/>
              <w:widowControl w:val="false"/>
              <w:jc w:val="center"/>
              <w:rPr>
                <w:rFonts w:ascii="Calibri" w:hAnsi="Calibri"/>
              </w:rPr>
            </w:pPr>
            <w:r>
              <w:rPr>
                <w:rFonts w:cs="Calibri" w:ascii="Calibri" w:hAnsi="Calibri" w:asciiTheme="minorHAnsi" w:cstheme="minorHAnsi" w:hAnsiTheme="minorHAnsi"/>
                <w:shd w:fill="FFFFFF" w:val="clear"/>
              </w:rPr>
              <w:t>Guilherme Castelliano Nadais</w:t>
            </w:r>
          </w:p>
          <w:p>
            <w:pPr>
              <w:pStyle w:val="Contedodatabela"/>
              <w:widowControl w:val="false"/>
              <w:jc w:val="center"/>
              <w:rPr>
                <w:rFonts w:ascii="Calibri" w:hAnsi="Calibri"/>
              </w:rPr>
            </w:pPr>
            <w:r>
              <w:rPr>
                <w:rFonts w:cs="Calibri" w:ascii="Calibri" w:hAnsi="Calibri" w:asciiTheme="minorHAnsi" w:cstheme="minorHAnsi" w:hAnsiTheme="minorHAnsi"/>
              </w:rPr>
              <w:t>Presidente</w:t>
            </w:r>
          </w:p>
        </w:tc>
      </w:tr>
    </w:tbl>
    <w:p>
      <w:pPr>
        <w:sectPr>
          <w:headerReference w:type="default" r:id="rId4"/>
          <w:footerReference w:type="default" r:id="rId5"/>
          <w:type w:val="nextPage"/>
          <w:pgSz w:w="11906" w:h="16838"/>
          <w:pgMar w:left="1077" w:right="1077" w:gutter="0" w:header="709" w:top="1900" w:footer="283" w:bottom="1587"/>
          <w:pgNumType w:fmt="decimal"/>
          <w:formProt w:val="false"/>
          <w:textDirection w:val="lrTb"/>
          <w:docGrid w:type="default" w:linePitch="312" w:charSpace="0"/>
        </w:sectPr>
      </w:pPr>
    </w:p>
    <w:p>
      <w:pPr>
        <w:pStyle w:val="Normal"/>
        <w:shd w:val="clear" w:color="auto" w:fill="38AB81"/>
        <w:jc w:val="center"/>
        <w:rPr/>
      </w:pPr>
      <w:commentRangeStart w:id="23"/>
      <w:r>
        <w:rPr>
          <w:rFonts w:cs="Times New Roman" w:ascii="Calibri" w:hAnsi="Calibri"/>
          <w:b/>
          <w:bCs/>
          <w:color w:val="FFFFFF"/>
        </w:rPr>
        <w:t>ANEXO I – PLANILHA DE CUSTOS E FORMAÇÃO DE PREÇOS</w:t>
      </w:r>
    </w:p>
    <w:p>
      <w:pPr>
        <w:pStyle w:val="Normal"/>
        <w:jc w:val="center"/>
        <w:rPr>
          <w:rFonts w:ascii="Calibri" w:hAnsi="Calibri" w:cs="Times New Roman"/>
          <w:b/>
          <w:b/>
          <w:bCs/>
        </w:rPr>
      </w:pPr>
      <w:r>
        <w:rPr>
          <w:rFonts w:cs="Times New Roman" w:ascii="Calibri" w:hAnsi="Calibri"/>
          <w:b/>
          <w:bCs/>
        </w:rPr>
      </w:r>
    </w:p>
    <w:tbl>
      <w:tblPr>
        <w:tblW w:w="9750" w:type="dxa"/>
        <w:jc w:val="center"/>
        <w:tblInd w:w="0" w:type="dxa"/>
        <w:tblLayout w:type="fixed"/>
        <w:tblCellMar>
          <w:top w:w="55" w:type="dxa"/>
          <w:left w:w="12" w:type="dxa"/>
          <w:bottom w:w="55" w:type="dxa"/>
          <w:right w:w="55" w:type="dxa"/>
        </w:tblCellMar>
        <w:tblLook w:firstRow="1" w:noVBand="1" w:lastRow="0" w:firstColumn="1" w:lastColumn="0" w:noHBand="0" w:val="04a0"/>
      </w:tblPr>
      <w:tblGrid>
        <w:gridCol w:w="507"/>
        <w:gridCol w:w="3739"/>
        <w:gridCol w:w="855"/>
        <w:gridCol w:w="1200"/>
        <w:gridCol w:w="1070"/>
        <w:gridCol w:w="1131"/>
        <w:gridCol w:w="1247"/>
      </w:tblGrid>
      <w:tr>
        <w:trPr/>
        <w:tc>
          <w:tcPr>
            <w:tcW w:w="507"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ITEM</w:t>
            </w:r>
          </w:p>
        </w:tc>
        <w:tc>
          <w:tcPr>
            <w:tcW w:w="3739"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DESCRIÇÃO/ESPECIFICAÇÃO</w:t>
            </w:r>
          </w:p>
        </w:tc>
        <w:tc>
          <w:tcPr>
            <w:tcW w:w="855"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QTD</w:t>
            </w:r>
          </w:p>
        </w:tc>
        <w:tc>
          <w:tcPr>
            <w:tcW w:w="120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MARCA</w:t>
            </w:r>
          </w:p>
        </w:tc>
        <w:tc>
          <w:tcPr>
            <w:tcW w:w="107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UNIDADE</w:t>
            </w:r>
          </w:p>
        </w:tc>
        <w:tc>
          <w:tcPr>
            <w:tcW w:w="1131"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VALOR</w:t>
            </w:r>
          </w:p>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UNITÁRIO</w:t>
            </w:r>
          </w:p>
        </w:tc>
        <w:tc>
          <w:tcPr>
            <w:tcW w:w="1247"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SUBTOTAL</w:t>
            </w:r>
          </w:p>
        </w:tc>
      </w:tr>
      <w:tr>
        <w:trPr/>
        <w:tc>
          <w:tcPr>
            <w:tcW w:w="507"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Light" w:ascii="Calibri" w:hAnsi="Calibri" w:cstheme="majorHAnsi"/>
                <w:sz w:val="20"/>
                <w:szCs w:val="20"/>
              </w:rPr>
              <w:t>01</w:t>
            </w:r>
          </w:p>
        </w:tc>
        <w:tc>
          <w:tcPr>
            <w:tcW w:w="3739" w:type="dxa"/>
            <w:tcBorders>
              <w:left w:val="single" w:sz="2" w:space="0" w:color="000001"/>
              <w:bottom w:val="single" w:sz="2" w:space="0" w:color="000001"/>
            </w:tcBorders>
            <w:vAlign w:val="center"/>
          </w:tcPr>
          <w:p>
            <w:pPr>
              <w:pStyle w:val="Contedodatabela"/>
              <w:widowControl w:val="false"/>
              <w:jc w:val="both"/>
              <w:rPr>
                <w:sz w:val="20"/>
                <w:szCs w:val="20"/>
              </w:rPr>
            </w:pPr>
            <w:r>
              <w:rPr>
                <w:rFonts w:cs="Calibri" w:ascii="Calibri" w:hAnsi="Calibri" w:asciiTheme="minorHAnsi" w:cstheme="minorHAnsi" w:hAnsiTheme="minorHAnsi"/>
                <w:color w:val="000000"/>
                <w:sz w:val="20"/>
                <w:szCs w:val="20"/>
              </w:rPr>
              <w:t>Item 1</w:t>
            </w:r>
          </w:p>
        </w:tc>
        <w:tc>
          <w:tcPr>
            <w:tcW w:w="855" w:type="dxa"/>
            <w:tcBorders>
              <w:left w:val="single" w:sz="2" w:space="0" w:color="000001"/>
              <w:bottom w:val="single" w:sz="2" w:space="0" w:color="000001"/>
            </w:tcBorders>
            <w:vAlign w:val="center"/>
          </w:tcPr>
          <w:p>
            <w:pPr>
              <w:pStyle w:val="Contedodatabela"/>
              <w:widowControl w:val="false"/>
              <w:jc w:val="center"/>
              <w:rPr>
                <w:rFonts w:ascii="Calibri" w:hAnsi="Calibri"/>
                <w:sz w:val="20"/>
                <w:szCs w:val="20"/>
              </w:rPr>
            </w:pPr>
            <w:r>
              <w:rPr>
                <w:rFonts w:ascii="Calibri" w:hAnsi="Calibri"/>
                <w:sz w:val="20"/>
                <w:szCs w:val="20"/>
              </w:rPr>
              <w:t>0</w:t>
            </w:r>
            <w:r>
              <w:rPr>
                <w:rFonts w:cs="Calibri" w:ascii="Calibri" w:hAnsi="Calibri"/>
                <w:sz w:val="20"/>
                <w:szCs w:val="20"/>
              </w:rPr>
              <w:t>6</w:t>
            </w:r>
          </w:p>
        </w:tc>
        <w:tc>
          <w:tcPr>
            <w:tcW w:w="1200" w:type="dxa"/>
            <w:tcBorders>
              <w:left w:val="single" w:sz="2" w:space="0" w:color="000001"/>
              <w:bottom w:val="single" w:sz="2" w:space="0" w:color="000001"/>
            </w:tcBorders>
            <w:vAlign w:val="center"/>
          </w:tcPr>
          <w:p>
            <w:pPr>
              <w:pStyle w:val="Contedodatabela"/>
              <w:widowControl w:val="false"/>
              <w:jc w:val="center"/>
              <w:rPr>
                <w:sz w:val="20"/>
                <w:szCs w:val="20"/>
              </w:rPr>
            </w:pPr>
            <w:r>
              <w:rPr>
                <w:sz w:val="20"/>
                <w:szCs w:val="20"/>
              </w:rPr>
            </w:r>
          </w:p>
        </w:tc>
        <w:tc>
          <w:tcPr>
            <w:tcW w:w="1070"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sz w:val="20"/>
                <w:szCs w:val="20"/>
              </w:rPr>
              <w:t>Caixa com 305 metros</w:t>
            </w:r>
          </w:p>
        </w:tc>
        <w:tc>
          <w:tcPr>
            <w:tcW w:w="1131"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w:t>
            </w:r>
          </w:p>
        </w:tc>
        <w:tc>
          <w:tcPr>
            <w:tcW w:w="1247" w:type="dxa"/>
            <w:tcBorders>
              <w:left w:val="single" w:sz="2" w:space="0" w:color="000001"/>
              <w:bottom w:val="single" w:sz="2" w:space="0" w:color="000001"/>
              <w:right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R$ 0.000,00</w:t>
            </w:r>
          </w:p>
        </w:tc>
      </w:tr>
      <w:tr>
        <w:trPr/>
        <w:tc>
          <w:tcPr>
            <w:tcW w:w="507"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Light" w:ascii="Calibri" w:hAnsi="Calibri" w:cstheme="majorHAnsi"/>
                <w:sz w:val="20"/>
                <w:szCs w:val="20"/>
              </w:rPr>
              <w:t>02</w:t>
            </w:r>
          </w:p>
        </w:tc>
        <w:tc>
          <w:tcPr>
            <w:tcW w:w="3739" w:type="dxa"/>
            <w:tcBorders>
              <w:left w:val="single" w:sz="2" w:space="0" w:color="000001"/>
              <w:bottom w:val="single" w:sz="2" w:space="0" w:color="000001"/>
            </w:tcBorders>
            <w:vAlign w:val="center"/>
          </w:tcPr>
          <w:p>
            <w:pPr>
              <w:pStyle w:val="Contedodatabela"/>
              <w:widowControl w:val="false"/>
              <w:jc w:val="both"/>
              <w:rPr>
                <w:sz w:val="20"/>
                <w:szCs w:val="20"/>
              </w:rPr>
            </w:pPr>
            <w:r>
              <w:rPr>
                <w:rFonts w:cs="Calibri" w:ascii="Calibri" w:hAnsi="Calibri" w:asciiTheme="minorHAnsi" w:cstheme="minorHAnsi" w:hAnsiTheme="minorHAnsi"/>
                <w:color w:val="000000"/>
                <w:sz w:val="20"/>
                <w:szCs w:val="20"/>
              </w:rPr>
              <w:t>Item 2</w:t>
            </w:r>
          </w:p>
        </w:tc>
        <w:tc>
          <w:tcPr>
            <w:tcW w:w="855" w:type="dxa"/>
            <w:tcBorders>
              <w:left w:val="single" w:sz="2" w:space="0" w:color="000001"/>
              <w:bottom w:val="single" w:sz="2" w:space="0" w:color="000001"/>
            </w:tcBorders>
            <w:vAlign w:val="center"/>
          </w:tcPr>
          <w:p>
            <w:pPr>
              <w:pStyle w:val="Contedodatabela"/>
              <w:widowControl w:val="false"/>
              <w:jc w:val="center"/>
              <w:rPr>
                <w:rFonts w:ascii="Calibri" w:hAnsi="Calibri"/>
                <w:sz w:val="20"/>
                <w:szCs w:val="20"/>
              </w:rPr>
            </w:pPr>
            <w:r>
              <w:rPr>
                <w:rFonts w:cs="Calibri" w:ascii="Calibri" w:hAnsi="Calibri"/>
                <w:sz w:val="20"/>
                <w:szCs w:val="20"/>
              </w:rPr>
              <w:t>70</w:t>
            </w:r>
          </w:p>
        </w:tc>
        <w:tc>
          <w:tcPr>
            <w:tcW w:w="1200" w:type="dxa"/>
            <w:tcBorders>
              <w:left w:val="single" w:sz="2" w:space="0" w:color="000001"/>
              <w:bottom w:val="single" w:sz="2" w:space="0" w:color="000001"/>
            </w:tcBorders>
            <w:vAlign w:val="center"/>
          </w:tcPr>
          <w:p>
            <w:pPr>
              <w:pStyle w:val="Contedodatabela"/>
              <w:widowControl w:val="false"/>
              <w:jc w:val="center"/>
              <w:rPr>
                <w:sz w:val="20"/>
                <w:szCs w:val="20"/>
              </w:rPr>
            </w:pPr>
            <w:r>
              <w:rPr>
                <w:sz w:val="20"/>
                <w:szCs w:val="20"/>
              </w:rPr>
            </w:r>
          </w:p>
        </w:tc>
        <w:tc>
          <w:tcPr>
            <w:tcW w:w="1070"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sz w:val="20"/>
                <w:szCs w:val="20"/>
              </w:rPr>
              <w:t>Unidade</w:t>
            </w:r>
          </w:p>
        </w:tc>
        <w:tc>
          <w:tcPr>
            <w:tcW w:w="1131"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w:t>
            </w:r>
          </w:p>
        </w:tc>
        <w:tc>
          <w:tcPr>
            <w:tcW w:w="1247" w:type="dxa"/>
            <w:tcBorders>
              <w:left w:val="single" w:sz="2" w:space="0" w:color="000001"/>
              <w:bottom w:val="single" w:sz="2" w:space="0" w:color="000001"/>
              <w:right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R$ 0.000,00</w:t>
            </w:r>
          </w:p>
        </w:tc>
      </w:tr>
      <w:tr>
        <w:trPr/>
        <w:tc>
          <w:tcPr>
            <w:tcW w:w="507"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Light" w:ascii="Calibri" w:hAnsi="Calibri" w:cstheme="majorHAnsi"/>
                <w:sz w:val="20"/>
                <w:szCs w:val="20"/>
              </w:rPr>
              <w:t>03</w:t>
            </w:r>
          </w:p>
        </w:tc>
        <w:tc>
          <w:tcPr>
            <w:tcW w:w="3739" w:type="dxa"/>
            <w:tcBorders>
              <w:left w:val="single" w:sz="2" w:space="0" w:color="000001"/>
              <w:bottom w:val="single" w:sz="2" w:space="0" w:color="000001"/>
            </w:tcBorders>
            <w:vAlign w:val="center"/>
          </w:tcPr>
          <w:p>
            <w:pPr>
              <w:pStyle w:val="Contedodatabela"/>
              <w:widowControl w:val="false"/>
              <w:jc w:val="both"/>
              <w:rPr>
                <w:sz w:val="20"/>
                <w:szCs w:val="20"/>
              </w:rPr>
            </w:pPr>
            <w:r>
              <w:rPr>
                <w:rFonts w:cs="Calibri" w:ascii="Calibri" w:hAnsi="Calibri" w:asciiTheme="minorHAnsi" w:cstheme="minorHAnsi" w:hAnsiTheme="minorHAnsi"/>
                <w:color w:val="000000"/>
                <w:sz w:val="20"/>
                <w:szCs w:val="20"/>
              </w:rPr>
              <w:t>Item 3</w:t>
            </w:r>
          </w:p>
        </w:tc>
        <w:tc>
          <w:tcPr>
            <w:tcW w:w="855" w:type="dxa"/>
            <w:tcBorders>
              <w:left w:val="single" w:sz="2" w:space="0" w:color="000001"/>
              <w:bottom w:val="single" w:sz="2" w:space="0" w:color="000001"/>
            </w:tcBorders>
            <w:vAlign w:val="center"/>
          </w:tcPr>
          <w:p>
            <w:pPr>
              <w:pStyle w:val="Contedodatabela"/>
              <w:widowControl w:val="false"/>
              <w:jc w:val="center"/>
              <w:rPr>
                <w:rFonts w:ascii="Calibri" w:hAnsi="Calibri"/>
                <w:sz w:val="20"/>
                <w:szCs w:val="20"/>
              </w:rPr>
            </w:pPr>
            <w:r>
              <w:rPr>
                <w:rFonts w:cs="Calibri" w:ascii="Calibri" w:hAnsi="Calibri"/>
                <w:sz w:val="20"/>
                <w:szCs w:val="20"/>
              </w:rPr>
              <w:t>40</w:t>
            </w:r>
          </w:p>
        </w:tc>
        <w:tc>
          <w:tcPr>
            <w:tcW w:w="1200" w:type="dxa"/>
            <w:tcBorders>
              <w:left w:val="single" w:sz="2" w:space="0" w:color="000001"/>
              <w:bottom w:val="single" w:sz="2" w:space="0" w:color="000001"/>
            </w:tcBorders>
            <w:vAlign w:val="center"/>
          </w:tcPr>
          <w:p>
            <w:pPr>
              <w:pStyle w:val="Contedodatabela"/>
              <w:widowControl w:val="false"/>
              <w:jc w:val="center"/>
              <w:rPr>
                <w:sz w:val="20"/>
                <w:szCs w:val="20"/>
              </w:rPr>
            </w:pPr>
            <w:r>
              <w:rPr>
                <w:sz w:val="20"/>
                <w:szCs w:val="20"/>
              </w:rPr>
            </w:r>
          </w:p>
        </w:tc>
        <w:tc>
          <w:tcPr>
            <w:tcW w:w="1070"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sz w:val="20"/>
                <w:szCs w:val="20"/>
              </w:rPr>
              <w:t>Unidade</w:t>
            </w:r>
          </w:p>
        </w:tc>
        <w:tc>
          <w:tcPr>
            <w:tcW w:w="1131"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w:t>
            </w:r>
          </w:p>
        </w:tc>
        <w:tc>
          <w:tcPr>
            <w:tcW w:w="1247" w:type="dxa"/>
            <w:tcBorders>
              <w:left w:val="single" w:sz="2" w:space="0" w:color="000001"/>
              <w:bottom w:val="single" w:sz="2" w:space="0" w:color="000001"/>
              <w:right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R$ 0.000,00</w:t>
            </w:r>
          </w:p>
        </w:tc>
      </w:tr>
      <w:tr>
        <w:trPr/>
        <w:tc>
          <w:tcPr>
            <w:tcW w:w="507"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Light" w:ascii="Calibri" w:hAnsi="Calibri" w:cstheme="majorHAnsi"/>
                <w:sz w:val="20"/>
                <w:szCs w:val="20"/>
              </w:rPr>
              <w:t>04</w:t>
            </w:r>
          </w:p>
        </w:tc>
        <w:tc>
          <w:tcPr>
            <w:tcW w:w="3739" w:type="dxa"/>
            <w:tcBorders>
              <w:left w:val="single" w:sz="2" w:space="0" w:color="000001"/>
              <w:bottom w:val="single" w:sz="2" w:space="0" w:color="000001"/>
            </w:tcBorders>
            <w:vAlign w:val="center"/>
          </w:tcPr>
          <w:p>
            <w:pPr>
              <w:pStyle w:val="Contedodatabela"/>
              <w:widowControl w:val="false"/>
              <w:jc w:val="both"/>
              <w:rPr>
                <w:sz w:val="20"/>
                <w:szCs w:val="20"/>
              </w:rPr>
            </w:pPr>
            <w:r>
              <w:rPr>
                <w:rFonts w:cs="Calibri" w:ascii="Calibri" w:hAnsi="Calibri" w:asciiTheme="minorHAnsi" w:cstheme="minorHAnsi" w:hAnsiTheme="minorHAnsi"/>
                <w:color w:val="000000"/>
                <w:sz w:val="20"/>
                <w:szCs w:val="20"/>
              </w:rPr>
              <w:t>Item 4</w:t>
            </w:r>
          </w:p>
        </w:tc>
        <w:tc>
          <w:tcPr>
            <w:tcW w:w="855" w:type="dxa"/>
            <w:tcBorders>
              <w:left w:val="single" w:sz="2" w:space="0" w:color="000001"/>
              <w:bottom w:val="single" w:sz="2" w:space="0" w:color="000001"/>
            </w:tcBorders>
            <w:vAlign w:val="center"/>
          </w:tcPr>
          <w:p>
            <w:pPr>
              <w:pStyle w:val="Contedodatabela"/>
              <w:widowControl w:val="false"/>
              <w:jc w:val="center"/>
              <w:rPr>
                <w:rFonts w:ascii="Calibri" w:hAnsi="Calibri"/>
                <w:sz w:val="20"/>
                <w:szCs w:val="20"/>
              </w:rPr>
            </w:pPr>
            <w:r>
              <w:rPr>
                <w:rFonts w:cs="Calibri" w:ascii="Calibri" w:hAnsi="Calibri"/>
                <w:sz w:val="20"/>
                <w:szCs w:val="20"/>
              </w:rPr>
              <w:t>02</w:t>
            </w:r>
          </w:p>
        </w:tc>
        <w:tc>
          <w:tcPr>
            <w:tcW w:w="1200" w:type="dxa"/>
            <w:tcBorders>
              <w:left w:val="single" w:sz="2" w:space="0" w:color="000001"/>
              <w:bottom w:val="single" w:sz="2" w:space="0" w:color="000001"/>
            </w:tcBorders>
            <w:vAlign w:val="center"/>
          </w:tcPr>
          <w:p>
            <w:pPr>
              <w:pStyle w:val="Contedodatabela"/>
              <w:widowControl w:val="false"/>
              <w:jc w:val="center"/>
              <w:rPr>
                <w:sz w:val="20"/>
                <w:szCs w:val="20"/>
              </w:rPr>
            </w:pPr>
            <w:r>
              <w:rPr>
                <w:sz w:val="20"/>
                <w:szCs w:val="20"/>
              </w:rPr>
            </w:r>
          </w:p>
        </w:tc>
        <w:tc>
          <w:tcPr>
            <w:tcW w:w="1070"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sz w:val="20"/>
                <w:szCs w:val="20"/>
              </w:rPr>
              <w:t>Unidade</w:t>
            </w:r>
          </w:p>
        </w:tc>
        <w:tc>
          <w:tcPr>
            <w:tcW w:w="1131"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w:t>
            </w:r>
          </w:p>
        </w:tc>
        <w:tc>
          <w:tcPr>
            <w:tcW w:w="1247" w:type="dxa"/>
            <w:tcBorders>
              <w:left w:val="single" w:sz="2" w:space="0" w:color="000001"/>
              <w:bottom w:val="single" w:sz="2" w:space="0" w:color="000001"/>
              <w:right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R$ 0.000,00</w:t>
            </w:r>
          </w:p>
        </w:tc>
      </w:tr>
      <w:tr>
        <w:trPr/>
        <w:tc>
          <w:tcPr>
            <w:tcW w:w="7371" w:type="dxa"/>
            <w:gridSpan w:val="5"/>
            <w:tcBorders>
              <w:left w:val="single" w:sz="2" w:space="0" w:color="000001"/>
              <w:bottom w:val="single" w:sz="2" w:space="0" w:color="000001"/>
            </w:tcBorders>
            <w:shd w:color="auto" w:fill="38AB81" w:val="clear"/>
            <w:vAlign w:val="center"/>
          </w:tcPr>
          <w:p>
            <w:pPr>
              <w:pStyle w:val="Contedodatabela"/>
              <w:widowControl w:val="false"/>
              <w:jc w:val="both"/>
              <w:rPr>
                <w:rFonts w:ascii="Calibri" w:hAnsi="Calibri" w:cs="Calibri"/>
                <w:b/>
                <w:b/>
                <w:bCs/>
                <w:color w:val="FFFFFF"/>
                <w:sz w:val="20"/>
                <w:szCs w:val="20"/>
              </w:rPr>
            </w:pPr>
            <w:r>
              <w:rPr>
                <w:rFonts w:cs="Calibri" w:ascii="Calibri" w:hAnsi="Calibri"/>
                <w:b/>
                <w:bCs/>
                <w:color w:val="FFFFFF"/>
                <w:sz w:val="20"/>
                <w:szCs w:val="20"/>
              </w:rPr>
              <w:t>Valor global estimado:</w:t>
            </w:r>
          </w:p>
        </w:tc>
        <w:tc>
          <w:tcPr>
            <w:tcW w:w="2378" w:type="dxa"/>
            <w:gridSpan w:val="2"/>
            <w:tcBorders>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R$ 0.000,00</w:t>
            </w:r>
          </w:p>
        </w:tc>
      </w:tr>
    </w:tbl>
    <w:p>
      <w:pPr>
        <w:pStyle w:val="Normal"/>
        <w:snapToGrid w:val="false"/>
        <w:ind w:left="794" w:hanging="0"/>
        <w:jc w:val="center"/>
        <w:rPr/>
      </w:pPr>
      <w:commentRangeEnd w:id="23"/>
      <w:r>
        <w:commentReference w:id="23"/>
      </w:r>
      <w:r>
        <w:rPr/>
      </w:r>
    </w:p>
    <w:p>
      <w:pPr>
        <w:pStyle w:val="Default"/>
        <w:snapToGrid w:val="false"/>
        <w:ind w:left="794" w:hanging="0"/>
        <w:jc w:val="center"/>
        <w:rPr>
          <w:rFonts w:ascii="Calibri" w:hAnsi="Calibri"/>
        </w:rPr>
      </w:pPr>
      <w:r>
        <w:rPr>
          <w:rFonts w:ascii="Calibri" w:hAnsi="Calibri"/>
        </w:rPr>
      </w:r>
    </w:p>
    <w:p>
      <w:pPr>
        <w:pStyle w:val="Default"/>
        <w:snapToGrid w:val="false"/>
        <w:ind w:left="794" w:hanging="0"/>
        <w:jc w:val="center"/>
        <w:rPr>
          <w:rFonts w:ascii="Calibri" w:hAnsi="Calibri"/>
        </w:rPr>
      </w:pPr>
      <w:r>
        <w:rPr>
          <w:rFonts w:ascii="Calibri" w:hAnsi="Calibri"/>
        </w:rPr>
      </w:r>
    </w:p>
    <w:p>
      <w:pPr>
        <w:pStyle w:val="Default"/>
        <w:snapToGrid w:val="false"/>
        <w:ind w:left="794" w:hanging="0"/>
        <w:jc w:val="center"/>
        <w:rPr>
          <w:rFonts w:ascii="Calibri" w:hAnsi="Calibri"/>
        </w:rPr>
      </w:pPr>
      <w:r>
        <w:rPr>
          <w:rFonts w:ascii="Calibri" w:hAnsi="Calibri"/>
        </w:rPr>
      </w:r>
    </w:p>
    <w:p>
      <w:pPr>
        <w:pStyle w:val="Default"/>
        <w:snapToGrid w:val="false"/>
        <w:ind w:left="794" w:hanging="0"/>
        <w:jc w:val="center"/>
        <w:rPr>
          <w:rFonts w:ascii="Calibri" w:hAnsi="Calibri"/>
        </w:rPr>
      </w:pPr>
      <w:r>
        <w:rPr/>
      </w:r>
    </w:p>
    <w:sectPr>
      <w:headerReference w:type="default" r:id="rId6"/>
      <w:footerReference w:type="default" r:id="rId7"/>
      <w:type w:val="nextPage"/>
      <w:pgSz w:w="11906" w:h="16838"/>
      <w:pgMar w:left="1077" w:right="1077" w:gutter="0" w:header="709" w:top="1900" w:footer="283" w:bottom="1587"/>
      <w:pgNumType w:fmt="decimal"/>
      <w:formProt w:val="false"/>
      <w:textDirection w:val="lrTb"/>
      <w:docGrid w:type="default" w:linePitch="312"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Autor desconhecido" w:date="2022-07-29T15:04:00Z" w:initials="">
    <w:p>
      <w:r>
        <w:rPr>
          <w:rFonts w:eastAsia="Segoe UI" w:cs="Tahoma" w:ascii="Calibri" w:hAnsi="Calibri"/>
          <w:w w:val="85"/>
          <w:kern w:val="0"/>
          <w:sz w:val="20"/>
          <w:lang w:val="en-US" w:eastAsia="en-US" w:bidi="en-US"/>
        </w:rPr>
        <w:t>Inserir o número do processo e da dispensa</w:t>
      </w:r>
    </w:p>
  </w:comment>
  <w:comment w:id="1" w:author="Autor desconhecido" w:date="2022-07-29T15:05:00Z" w:initials="">
    <w:p>
      <w:r>
        <w:rPr>
          <w:rFonts w:eastAsia="Segoe UI" w:cs="Tahoma" w:ascii="Calibri" w:hAnsi="Calibri"/>
          <w:w w:val="85"/>
          <w:kern w:val="0"/>
          <w:sz w:val="20"/>
          <w:lang w:val="en-US" w:eastAsia="en-US" w:bidi="en-US"/>
        </w:rPr>
        <w:t>Informar o objeto que se pretende adquirir, nota-se que não se trata dos itens que compõe o processo, mas sim do objeto deste.</w:t>
      </w:r>
    </w:p>
  </w:comment>
  <w:comment w:id="2" w:author="Autor desconhecido" w:date="2022-07-29T15:09:00Z" w:initials="">
    <w:p>
      <w:r>
        <w:rPr>
          <w:rFonts w:eastAsia="Segoe UI" w:cs="Tahoma" w:ascii="Calibri" w:hAnsi="Calibri"/>
          <w:w w:val="85"/>
          <w:kern w:val="0"/>
          <w:sz w:val="20"/>
          <w:lang w:val="en-US" w:eastAsia="en-US" w:bidi="en-US"/>
        </w:rPr>
        <w:t>Descrever detalhadamente o item que se pretende adquirir, quantidade e forma de apresentação</w:t>
      </w:r>
    </w:p>
  </w:comment>
  <w:comment w:id="3" w:author="Autor desconhecido" w:date="2022-07-29T15:09:00Z" w:initials="">
    <w:p>
      <w:r>
        <w:rPr>
          <w:rFonts w:eastAsia="Segoe UI" w:cs="Tahoma" w:ascii="Calibri" w:hAnsi="Calibri"/>
          <w:w w:val="85"/>
          <w:kern w:val="0"/>
          <w:sz w:val="20"/>
          <w:lang w:val="en-US" w:eastAsia="en-US" w:bidi="en-US"/>
        </w:rPr>
        <w:t>Atualmente o sistema não faz o agrupamento de itens, uma forma adotada para Dispensas Eletrônicas por grupo de itens é a utilização de planilha de custos e formação de preços</w:t>
      </w:r>
    </w:p>
  </w:comment>
  <w:comment w:id="4" w:author="Autor desconhecido" w:date="2023-01-11T13:18:00Z" w:initials="">
    <w:p>
      <w:r>
        <w:rPr>
          <w:rFonts w:eastAsia="Segoe UI" w:cs="Tahoma" w:ascii="Calibri" w:hAnsi="Calibri"/>
          <w:w w:val="85"/>
          <w:kern w:val="0"/>
          <w:sz w:val="20"/>
          <w:lang w:val="en-US" w:eastAsia="en-US" w:bidi="en-US"/>
        </w:rPr>
        <w:t>Utilizar em caso de substituição de Termo de Contrato por instrumento equivalente “Nota de Empenho</w:t>
      </w:r>
    </w:p>
  </w:comment>
  <w:comment w:id="5" w:author="Autor desconhecido" w:date="2023-01-11T13:19:00Z" w:initials="">
    <w:p>
      <w:r>
        <w:rPr>
          <w:rFonts w:eastAsia="Segoe UI" w:cs="Tahoma" w:ascii="Calibri" w:hAnsi="Calibri"/>
          <w:w w:val="85"/>
          <w:kern w:val="0"/>
          <w:sz w:val="20"/>
          <w:lang w:val="en-US" w:eastAsia="en-US" w:bidi="en-US"/>
        </w:rPr>
        <w:t>Utilizar em caso de contrato sem prorrogação</w:t>
      </w:r>
    </w:p>
  </w:comment>
  <w:comment w:id="6" w:author="Autor desconhecido" w:date="2023-01-11T13:19:00Z" w:initials="">
    <w:p>
      <w:r>
        <w:rPr>
          <w:rFonts w:eastAsia="Segoe UI" w:cs="Tahoma" w:ascii="Calibri" w:hAnsi="Calibri"/>
          <w:w w:val="85"/>
          <w:kern w:val="0"/>
          <w:sz w:val="20"/>
          <w:lang w:val="en-US" w:eastAsia="en-US" w:bidi="en-US"/>
        </w:rPr>
        <w:t xml:space="preserve">Utilizar caso contrato com prorrogação </w:t>
      </w:r>
    </w:p>
  </w:comment>
  <w:comment w:id="7" w:author="Autor desconhecido" w:date="2023-01-11T13:20:00Z" w:initials="">
    <w:p>
      <w:r>
        <w:rPr>
          <w:rFonts w:eastAsia="Segoe UI" w:cs="Tahoma" w:ascii="Calibri" w:hAnsi="Calibri"/>
          <w:w w:val="85"/>
          <w:kern w:val="0"/>
          <w:sz w:val="20"/>
          <w:lang w:val="en-US" w:eastAsia="en-US" w:bidi="en-US"/>
        </w:rPr>
        <w:t>Utilizado para contratação emergencial</w:t>
      </w:r>
    </w:p>
  </w:comment>
  <w:comment w:id="8" w:author="Autor desconhecido" w:date="2022-07-29T15:11:00Z" w:initials="">
    <w:p>
      <w:r>
        <w:rPr>
          <w:rFonts w:eastAsia="Segoe UI" w:cs="Tahoma" w:ascii="Calibri" w:hAnsi="Calibri"/>
          <w:w w:val="85"/>
          <w:kern w:val="0"/>
          <w:sz w:val="20"/>
          <w:lang w:val="en-US" w:eastAsia="en-US" w:bidi="en-US"/>
        </w:rPr>
        <w:t>Utilizar em caso de dispensa eletrônica por grupo</w:t>
      </w:r>
    </w:p>
  </w:comment>
  <w:comment w:id="9" w:author="Autor desconhecido" w:date="2023-01-11T13:21:00Z" w:initials="">
    <w:p>
      <w:r>
        <w:rPr>
          <w:rFonts w:eastAsia="Segoe UI" w:cs="Tahoma" w:ascii="Calibri" w:hAnsi="Calibri"/>
          <w:w w:val="85"/>
          <w:kern w:val="0"/>
          <w:sz w:val="20"/>
          <w:lang w:val="en-US" w:eastAsia="en-US" w:bidi="en-US"/>
        </w:rPr>
        <w:t>Acrescentar demais requisitos conforme necessidade</w:t>
      </w:r>
    </w:p>
  </w:comment>
  <w:comment w:id="10" w:author="Autor desconhecido" w:date="2023-01-11T13:22:00Z" w:initials="">
    <w:p>
      <w:r>
        <w:rPr>
          <w:rFonts w:eastAsia="Segoe UI" w:cs="Tahoma" w:ascii="Calibri" w:hAnsi="Calibri"/>
          <w:w w:val="85"/>
          <w:kern w:val="0"/>
          <w:sz w:val="20"/>
          <w:lang w:val="en-US" w:eastAsia="en-US" w:bidi="en-US"/>
        </w:rPr>
        <w:t>Utilizar em caso opte por indicação de marca com as devidas justificativas</w:t>
      </w:r>
    </w:p>
  </w:comment>
  <w:comment w:id="11" w:author="Autor desconhecido" w:date="2023-01-11T13:23:00Z" w:initials="">
    <w:p>
      <w:r>
        <w:rPr>
          <w:rFonts w:eastAsia="Segoe UI" w:cs="Tahoma" w:ascii="Calibri" w:hAnsi="Calibri"/>
          <w:w w:val="85"/>
          <w:kern w:val="0"/>
          <w:sz w:val="20"/>
          <w:lang w:val="en-US" w:eastAsia="en-US" w:bidi="en-US"/>
        </w:rPr>
        <w:t>Utilizar caso necessário a solicitação de amostra</w:t>
      </w:r>
    </w:p>
  </w:comment>
  <w:comment w:id="12" w:author="Autor desconhecido" w:date="2023-01-11T13:23:00Z" w:initials="">
    <w:p>
      <w:r>
        <w:rPr>
          <w:rFonts w:eastAsia="Segoe UI" w:cs="Tahoma" w:ascii="Calibri" w:hAnsi="Calibri"/>
          <w:w w:val="85"/>
          <w:kern w:val="0"/>
          <w:sz w:val="20"/>
          <w:lang w:val="en-US" w:eastAsia="en-US" w:bidi="en-US"/>
        </w:rPr>
        <w:t>Caso verifique a necessidade de excluir marcas devido não atender a necessidade, devidamente justificado no ETP, Ex: caso o material já tenha sido utilizado e não atendeu a necessidade.</w:t>
      </w:r>
    </w:p>
  </w:comment>
  <w:comment w:id="13" w:author="Autor desconhecido" w:date="2023-01-11T13:31:00Z" w:initials="">
    <w:p>
      <w:r>
        <w:rPr>
          <w:rFonts w:eastAsia="Segoe UI" w:cs="Tahoma" w:ascii="Calibri" w:hAnsi="Calibri"/>
          <w:w w:val="85"/>
          <w:kern w:val="0"/>
          <w:sz w:val="20"/>
          <w:lang w:val="en-US" w:eastAsia="en-US" w:bidi="en-US"/>
        </w:rPr>
        <w:t>Utilizado para não possibilitar a subcontratação</w:t>
      </w:r>
    </w:p>
  </w:comment>
  <w:comment w:id="14" w:author="Autor desconhecido" w:date="2023-01-11T13:34:00Z" w:initials="">
    <w:p>
      <w:r>
        <w:rPr>
          <w:rFonts w:eastAsia="Segoe UI" w:cs="Tahoma" w:ascii="Calibri" w:hAnsi="Calibri"/>
          <w:w w:val="85"/>
          <w:kern w:val="0"/>
          <w:sz w:val="20"/>
          <w:lang w:val="en-US" w:eastAsia="en-US" w:bidi="en-US"/>
        </w:rPr>
        <w:t>Utilizar caso possibilite a subcontratação com suas respectivas particularidades</w:t>
      </w:r>
    </w:p>
  </w:comment>
  <w:comment w:id="15" w:author="Autor desconhecido" w:date="2023-01-11T13:35:00Z" w:initials="">
    <w:p>
      <w:r>
        <w:rPr>
          <w:rFonts w:eastAsia="Segoe UI" w:cs="Tahoma" w:ascii="Calibri" w:hAnsi="Calibri"/>
          <w:w w:val="85"/>
          <w:kern w:val="0"/>
          <w:sz w:val="20"/>
          <w:lang w:val="en-US" w:eastAsia="en-US" w:bidi="en-US"/>
        </w:rPr>
        <w:t>Utilizar para não exigência de garantia</w:t>
      </w:r>
    </w:p>
  </w:comment>
  <w:comment w:id="16" w:author="Autor desconhecido" w:date="2023-01-11T13:36:00Z" w:initials="">
    <w:p>
      <w:r>
        <w:rPr>
          <w:rFonts w:eastAsia="Segoe UI" w:cs="Tahoma" w:ascii="Calibri" w:hAnsi="Calibri"/>
          <w:w w:val="85"/>
          <w:kern w:val="0"/>
          <w:sz w:val="20"/>
          <w:lang w:val="en-US" w:eastAsia="en-US" w:bidi="en-US"/>
        </w:rPr>
        <w:t>Utilizar caso seja necessária a apresentação de garantia contratual</w:t>
      </w:r>
    </w:p>
  </w:comment>
  <w:comment w:id="17" w:author="Autor desconhecido" w:date="2023-01-11T13:36:00Z" w:initials="">
    <w:p>
      <w:r>
        <w:rPr>
          <w:rFonts w:eastAsia="Segoe UI" w:cs="Tahoma" w:ascii="Calibri" w:hAnsi="Calibri"/>
          <w:w w:val="85"/>
          <w:kern w:val="0"/>
          <w:sz w:val="20"/>
          <w:lang w:val="en-US" w:eastAsia="en-US" w:bidi="en-US"/>
        </w:rPr>
        <w:t>Utilizar para entregas parceladas</w:t>
      </w:r>
    </w:p>
  </w:comment>
  <w:comment w:id="18" w:author="Autor desconhecido" w:date="2023-01-11T13:37:00Z" w:initials="">
    <w:p>
      <w:r>
        <w:rPr>
          <w:rFonts w:eastAsia="Segoe UI" w:cs="Tahoma" w:ascii="Calibri" w:hAnsi="Calibri"/>
          <w:w w:val="85"/>
          <w:kern w:val="0"/>
          <w:sz w:val="20"/>
          <w:lang w:val="en-US" w:eastAsia="en-US" w:bidi="en-US"/>
        </w:rPr>
        <w:t>Caso necessite de mais competências</w:t>
      </w:r>
    </w:p>
  </w:comment>
  <w:comment w:id="19" w:author="Autor desconhecido" w:date="2023-01-11T13:38:00Z" w:initials="">
    <w:p>
      <w:r>
        <w:rPr>
          <w:rFonts w:eastAsia="Segoe UI" w:cs="Tahoma" w:ascii="Calibri" w:hAnsi="Calibri"/>
          <w:w w:val="85"/>
          <w:kern w:val="0"/>
          <w:sz w:val="20"/>
          <w:lang w:val="en-US" w:eastAsia="en-US" w:bidi="en-US"/>
        </w:rPr>
        <w:t>Utilizado na Dispensa Eletrônica</w:t>
      </w:r>
    </w:p>
  </w:comment>
  <w:comment w:id="20" w:author="Autor desconhecido" w:date="2023-01-11T13:38:00Z" w:initials="">
    <w:p>
      <w:r>
        <w:rPr>
          <w:rFonts w:eastAsia="Segoe UI" w:cs="Tahoma" w:ascii="Calibri" w:hAnsi="Calibri"/>
          <w:w w:val="85"/>
          <w:kern w:val="0"/>
          <w:sz w:val="20"/>
          <w:lang w:val="en-US" w:eastAsia="en-US" w:bidi="en-US"/>
        </w:rPr>
        <w:t>Utilizado em Dispensas não Eletrônicas</w:t>
      </w:r>
    </w:p>
  </w:comment>
  <w:comment w:id="21" w:author="Autor desconhecido" w:date="2022-07-29T14:59:00Z" w:initials="">
    <w:p>
      <w:r>
        <w:rPr>
          <w:rFonts w:eastAsia="Segoe UI" w:cs="Tahoma" w:ascii="Calibri" w:hAnsi="Calibri"/>
          <w:w w:val="85"/>
          <w:kern w:val="0"/>
          <w:sz w:val="20"/>
          <w:lang w:val="en-US" w:eastAsia="en-US" w:bidi="en-US"/>
        </w:rPr>
        <w:t>Inserir a data</w:t>
      </w:r>
    </w:p>
  </w:comment>
  <w:comment w:id="22" w:author="Autor desconhecido" w:date="2023-06-14T13:33:5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 xml:space="preserve">Nome dos envolvidos na elaboração e aprovação </w:t>
      </w:r>
    </w:p>
  </w:comment>
  <w:comment w:id="23" w:author="Autor desconhecido" w:date="2022-07-29T16:09:00Z" w:initials="">
    <w:p>
      <w:r>
        <w:rPr>
          <w:rFonts w:eastAsia="Segoe UI" w:cs="Tahoma" w:ascii="Calibri" w:hAnsi="Calibri"/>
          <w:w w:val="85"/>
          <w:kern w:val="0"/>
          <w:sz w:val="20"/>
          <w:lang w:val="en-US" w:eastAsia="en-US" w:bidi="en-US"/>
        </w:rPr>
        <w:t>Utilizar caso opte pela dispensa eletrônica por grupo de itens</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Mono">
    <w:altName w:val="Courier New"/>
    <w:charset w:val="00"/>
    <w:family w:val="roman"/>
    <w:pitch w:val="variable"/>
  </w:font>
  <w:font w:name="OpenSymbol">
    <w:altName w:val="Arial Unicode MS"/>
    <w:charset w:val="00"/>
    <w:family w:val="roman"/>
    <w:pitch w:val="variable"/>
  </w:font>
  <w:font w:name="Tahoma">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tabs>
        <w:tab w:val="clear" w:pos="4819"/>
        <w:tab w:val="clear" w:pos="9638"/>
        <w:tab w:val="center" w:pos="4419" w:leader="none"/>
        <w:tab w:val="left" w:pos="5812" w:leader="none"/>
        <w:tab w:val="right" w:pos="8838" w:leader="none"/>
      </w:tabs>
      <w:jc w:val="both"/>
      <w:rPr/>
    </w:pPr>
    <w:r>
      <w:rPr>
        <w:rStyle w:val="LinkdaInternet"/>
        <w:rFonts w:cs="Calibri" w:ascii="Calibri" w:hAnsi="Calibri"/>
        <w:color w:val="auto"/>
        <w:sz w:val="16"/>
        <w:szCs w:val="16"/>
        <w:u w:val="none"/>
      </w:rPr>
      <w:t>Classificação da informação contida no documento ( X ) Público  (    ) Sigiloso  (    ) Restrito  |  Qual restrição?</w:t>
    </w:r>
  </w:p>
  <w:p>
    <w:pPr>
      <w:pStyle w:val="Rodap"/>
      <w:tabs>
        <w:tab w:val="clear" w:pos="4819"/>
        <w:tab w:val="clear" w:pos="9638"/>
        <w:tab w:val="center" w:pos="4419" w:leader="none"/>
        <w:tab w:val="left" w:pos="5812" w:leader="none"/>
        <w:tab w:val="right" w:pos="8838" w:leader="none"/>
      </w:tabs>
      <w:jc w:val="both"/>
      <w:rPr>
        <w:rStyle w:val="LinkdaInternet"/>
        <w:rFonts w:ascii="Calibri" w:hAnsi="Calibri" w:cs="Calibri"/>
        <w:color w:val="auto"/>
        <w:sz w:val="16"/>
        <w:szCs w:val="16"/>
        <w:u w:val="none"/>
      </w:rPr>
    </w:pPr>
    <w:r>
      <w:rPr>
        <w:rFonts w:cs="Calibri" w:ascii="Calibri" w:hAnsi="Calibri"/>
        <w:color w:val="auto"/>
        <w:sz w:val="16"/>
        <w:szCs w:val="16"/>
        <w:u w:val="none"/>
      </w:rPr>
      <w:drawing>
        <wp:anchor behindDoc="1" distT="0" distB="0" distL="0" distR="0" simplePos="0" locked="0" layoutInCell="0" allowOverlap="1" relativeHeight="37">
          <wp:simplePos x="0" y="0"/>
          <wp:positionH relativeFrom="page">
            <wp:align>center</wp:align>
          </wp:positionH>
          <wp:positionV relativeFrom="paragraph">
            <wp:posOffset>21590</wp:posOffset>
          </wp:positionV>
          <wp:extent cx="6480175" cy="504190"/>
          <wp:effectExtent l="0" t="0" r="0" b="0"/>
          <wp:wrapSquare wrapText="largest"/>
          <wp:docPr id="2"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descr=""/>
                  <pic:cNvPicPr>
                    <a:picLocks noChangeAspect="1" noChangeArrowheads="1"/>
                  </pic:cNvPicPr>
                </pic:nvPicPr>
                <pic:blipFill>
                  <a:blip r:embed="rId1"/>
                  <a:srcRect l="-20" t="-254" r="-20" b="-254"/>
                  <a:stretch>
                    <a:fillRect/>
                  </a:stretch>
                </pic:blipFill>
                <pic:spPr bwMode="auto">
                  <a:xfrm>
                    <a:off x="0" y="0"/>
                    <a:ext cx="6480175" cy="504190"/>
                  </a:xfrm>
                  <a:prstGeom prst="rect">
                    <a:avLst/>
                  </a:prstGeom>
                </pic:spPr>
              </pic:pic>
            </a:graphicData>
          </a:graphic>
        </wp:anchor>
      </w:drawing>
    </w:r>
  </w:p>
  <w:p>
    <w:pPr>
      <w:pStyle w:val="Rodap"/>
      <w:tabs>
        <w:tab w:val="clear" w:pos="4819"/>
        <w:tab w:val="clear" w:pos="9638"/>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sz w:val="16"/>
        <w:szCs w:val="16"/>
      </w:rPr>
    </w:pPr>
    <w:r>
      <w:rPr>
        <w:sz w:val="16"/>
        <w:szCs w:val="16"/>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tabs>
        <w:tab w:val="clear" w:pos="4819"/>
        <w:tab w:val="clear" w:pos="9638"/>
        <w:tab w:val="center" w:pos="4419" w:leader="none"/>
        <w:tab w:val="left" w:pos="5812" w:leader="none"/>
        <w:tab w:val="right" w:pos="8838" w:leader="none"/>
      </w:tabs>
      <w:jc w:val="both"/>
      <w:rPr/>
    </w:pPr>
    <w:r>
      <w:rPr>
        <w:rStyle w:val="LinkdaInternet"/>
        <w:rFonts w:cs="Calibri" w:ascii="Calibri" w:hAnsi="Calibri"/>
        <w:color w:val="auto"/>
        <w:sz w:val="16"/>
        <w:szCs w:val="16"/>
        <w:u w:val="none"/>
      </w:rPr>
      <w:t>Classificação da informação contida no documento ( X ) Público  (    ) Sigiloso  (    ) Restrito  |  Qual restrição?</w:t>
    </w:r>
  </w:p>
  <w:p>
    <w:pPr>
      <w:pStyle w:val="Rodap"/>
      <w:tabs>
        <w:tab w:val="clear" w:pos="4819"/>
        <w:tab w:val="clear" w:pos="9638"/>
        <w:tab w:val="center" w:pos="4419" w:leader="none"/>
        <w:tab w:val="left" w:pos="5812" w:leader="none"/>
        <w:tab w:val="right" w:pos="8838" w:leader="none"/>
      </w:tabs>
      <w:jc w:val="both"/>
      <w:rPr>
        <w:rStyle w:val="LinkdaInternet"/>
        <w:rFonts w:ascii="Calibri" w:hAnsi="Calibri" w:cs="Calibri"/>
        <w:color w:val="auto"/>
        <w:sz w:val="16"/>
        <w:szCs w:val="16"/>
        <w:u w:val="none"/>
      </w:rPr>
    </w:pPr>
    <w:r>
      <w:rPr>
        <w:rFonts w:cs="Calibri" w:ascii="Calibri" w:hAnsi="Calibri"/>
        <w:color w:val="auto"/>
        <w:sz w:val="16"/>
        <w:szCs w:val="16"/>
        <w:u w:val="none"/>
      </w:rPr>
      <w:drawing>
        <wp:anchor behindDoc="1" distT="0" distB="0" distL="0" distR="0" simplePos="0" locked="0" layoutInCell="0" allowOverlap="1" relativeHeight="4">
          <wp:simplePos x="0" y="0"/>
          <wp:positionH relativeFrom="page">
            <wp:align>center</wp:align>
          </wp:positionH>
          <wp:positionV relativeFrom="paragraph">
            <wp:posOffset>21590</wp:posOffset>
          </wp:positionV>
          <wp:extent cx="6480175" cy="504190"/>
          <wp:effectExtent l="0" t="0" r="0" b="0"/>
          <wp:wrapSquare wrapText="largest"/>
          <wp:docPr id="4" name="Figura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4" descr=""/>
                  <pic:cNvPicPr>
                    <a:picLocks noChangeAspect="1" noChangeArrowheads="1"/>
                  </pic:cNvPicPr>
                </pic:nvPicPr>
                <pic:blipFill>
                  <a:blip r:embed="rId1"/>
                  <a:srcRect l="-20" t="-254" r="-20" b="-254"/>
                  <a:stretch>
                    <a:fillRect/>
                  </a:stretch>
                </pic:blipFill>
                <pic:spPr bwMode="auto">
                  <a:xfrm>
                    <a:off x="0" y="0"/>
                    <a:ext cx="6480175" cy="504190"/>
                  </a:xfrm>
                  <a:prstGeom prst="rect">
                    <a:avLst/>
                  </a:prstGeom>
                </pic:spPr>
              </pic:pic>
            </a:graphicData>
          </a:graphic>
        </wp:anchor>
      </w:drawing>
    </w:r>
  </w:p>
  <w:p>
    <w:pPr>
      <w:pStyle w:val="Rodap"/>
      <w:tabs>
        <w:tab w:val="clear" w:pos="4819"/>
        <w:tab w:val="clear" w:pos="9638"/>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sz w:val="16"/>
        <w:szCs w:val="16"/>
      </w:rPr>
    </w:pPr>
    <w:r>
      <w:rPr>
        <w:sz w:val="16"/>
        <w:szCs w:val="16"/>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tabs>
        <w:tab w:val="clear" w:pos="4819"/>
        <w:tab w:val="clear" w:pos="9638"/>
        <w:tab w:val="center" w:pos="4419" w:leader="none"/>
        <w:tab w:val="left" w:pos="5812" w:leader="none"/>
        <w:tab w:val="right" w:pos="8838" w:leader="none"/>
      </w:tabs>
      <w:jc w:val="both"/>
      <w:rPr/>
    </w:pPr>
    <w:r>
      <w:rPr>
        <w:rStyle w:val="LinkdaInternet"/>
        <w:rFonts w:cs="Calibri" w:ascii="Calibri" w:hAnsi="Calibri"/>
        <w:color w:val="auto"/>
        <w:sz w:val="16"/>
        <w:szCs w:val="16"/>
        <w:u w:val="none"/>
      </w:rPr>
      <w:t>Classificação da informação contida no documento ( X ) Público  (    ) Sigiloso  (    ) Restrito  |  Qual restrição?</w:t>
    </w:r>
  </w:p>
  <w:p>
    <w:pPr>
      <w:pStyle w:val="Rodap"/>
      <w:tabs>
        <w:tab w:val="clear" w:pos="4819"/>
        <w:tab w:val="clear" w:pos="9638"/>
        <w:tab w:val="center" w:pos="4419" w:leader="none"/>
        <w:tab w:val="left" w:pos="5812" w:leader="none"/>
        <w:tab w:val="right" w:pos="8838" w:leader="none"/>
      </w:tabs>
      <w:jc w:val="both"/>
      <w:rPr>
        <w:rStyle w:val="LinkdaInternet"/>
        <w:rFonts w:ascii="Calibri" w:hAnsi="Calibri" w:cs="Calibri"/>
        <w:color w:val="auto"/>
        <w:sz w:val="16"/>
        <w:szCs w:val="16"/>
        <w:u w:val="none"/>
      </w:rPr>
    </w:pPr>
    <w:r>
      <w:rPr>
        <w:rFonts w:cs="Calibri" w:ascii="Calibri" w:hAnsi="Calibri"/>
        <w:color w:val="auto"/>
        <w:sz w:val="16"/>
        <w:szCs w:val="16"/>
        <w:u w:val="none"/>
      </w:rPr>
      <w:drawing>
        <wp:anchor behindDoc="1" distT="0" distB="0" distL="0" distR="0" simplePos="0" locked="0" layoutInCell="0" allowOverlap="1" relativeHeight="2">
          <wp:simplePos x="0" y="0"/>
          <wp:positionH relativeFrom="page">
            <wp:align>center</wp:align>
          </wp:positionH>
          <wp:positionV relativeFrom="paragraph">
            <wp:posOffset>21590</wp:posOffset>
          </wp:positionV>
          <wp:extent cx="6480175" cy="504190"/>
          <wp:effectExtent l="0" t="0" r="0" b="0"/>
          <wp:wrapSquare wrapText="largest"/>
          <wp:docPr id="6" name="Figura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6" descr=""/>
                  <pic:cNvPicPr>
                    <a:picLocks noChangeAspect="1" noChangeArrowheads="1"/>
                  </pic:cNvPicPr>
                </pic:nvPicPr>
                <pic:blipFill>
                  <a:blip r:embed="rId1"/>
                  <a:srcRect l="-20" t="-254" r="-20" b="-254"/>
                  <a:stretch>
                    <a:fillRect/>
                  </a:stretch>
                </pic:blipFill>
                <pic:spPr bwMode="auto">
                  <a:xfrm>
                    <a:off x="0" y="0"/>
                    <a:ext cx="6480175" cy="504190"/>
                  </a:xfrm>
                  <a:prstGeom prst="rect">
                    <a:avLst/>
                  </a:prstGeom>
                </pic:spPr>
              </pic:pic>
            </a:graphicData>
          </a:graphic>
        </wp:anchor>
      </w:drawing>
    </w:r>
  </w:p>
  <w:p>
    <w:pPr>
      <w:pStyle w:val="Rodap"/>
      <w:tabs>
        <w:tab w:val="clear" w:pos="4819"/>
        <w:tab w:val="clear" w:pos="9638"/>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sz w:val="16"/>
        <w:szCs w:val="16"/>
      </w:rPr>
    </w:pPr>
    <w:r>
      <w:rPr>
        <w:sz w:val="16"/>
        <w:szCs w:val="16"/>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rPr/>
    </w:pPr>
    <w:r>
      <w:rPr/>
      <w:drawing>
        <wp:anchor behindDoc="1" distT="0" distB="0" distL="0" distR="0" simplePos="0" locked="0" layoutInCell="0" allowOverlap="1" relativeHeight="21">
          <wp:simplePos x="0" y="0"/>
          <wp:positionH relativeFrom="page">
            <wp:align>center</wp:align>
          </wp:positionH>
          <wp:positionV relativeFrom="paragraph">
            <wp:posOffset>-28575</wp:posOffset>
          </wp:positionV>
          <wp:extent cx="6480175" cy="810260"/>
          <wp:effectExtent l="0" t="0" r="0" b="0"/>
          <wp:wrapSquare wrapText="largest"/>
          <wp:docPr id="1"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descr=""/>
                  <pic:cNvPicPr>
                    <a:picLocks noChangeAspect="1" noChangeArrowheads="1"/>
                  </pic:cNvPicPr>
                </pic:nvPicPr>
                <pic:blipFill>
                  <a:blip r:embed="rId1"/>
                  <a:srcRect l="-20" t="-141" r="-20" b="-141"/>
                  <a:stretch>
                    <a:fillRect/>
                  </a:stretch>
                </pic:blipFill>
                <pic:spPr bwMode="auto">
                  <a:xfrm>
                    <a:off x="0" y="0"/>
                    <a:ext cx="6480175" cy="81026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rPr/>
    </w:pPr>
    <w:r>
      <w:rPr/>
      <w:drawing>
        <wp:anchor behindDoc="1" distT="0" distB="0" distL="0" distR="0" simplePos="0" locked="0" layoutInCell="0" allowOverlap="1" relativeHeight="5">
          <wp:simplePos x="0" y="0"/>
          <wp:positionH relativeFrom="page">
            <wp:align>center</wp:align>
          </wp:positionH>
          <wp:positionV relativeFrom="paragraph">
            <wp:posOffset>-28575</wp:posOffset>
          </wp:positionV>
          <wp:extent cx="6480175" cy="810260"/>
          <wp:effectExtent l="0" t="0" r="0" b="0"/>
          <wp:wrapSquare wrapText="largest"/>
          <wp:docPr id="3"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3" descr=""/>
                  <pic:cNvPicPr>
                    <a:picLocks noChangeAspect="1" noChangeArrowheads="1"/>
                  </pic:cNvPicPr>
                </pic:nvPicPr>
                <pic:blipFill>
                  <a:blip r:embed="rId1"/>
                  <a:srcRect l="-20" t="-141" r="-20" b="-141"/>
                  <a:stretch>
                    <a:fillRect/>
                  </a:stretch>
                </pic:blipFill>
                <pic:spPr bwMode="auto">
                  <a:xfrm>
                    <a:off x="0" y="0"/>
                    <a:ext cx="6480175" cy="81026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rPr/>
    </w:pPr>
    <w:r>
      <w:rPr/>
      <w:drawing>
        <wp:anchor behindDoc="1" distT="0" distB="0" distL="0" distR="0" simplePos="0" locked="0" layoutInCell="0" allowOverlap="1" relativeHeight="3">
          <wp:simplePos x="0" y="0"/>
          <wp:positionH relativeFrom="page">
            <wp:align>center</wp:align>
          </wp:positionH>
          <wp:positionV relativeFrom="paragraph">
            <wp:posOffset>-28575</wp:posOffset>
          </wp:positionV>
          <wp:extent cx="6480175" cy="810260"/>
          <wp:effectExtent l="0" t="0" r="0" b="0"/>
          <wp:wrapSquare wrapText="largest"/>
          <wp:docPr id="5" name="Figura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5" descr=""/>
                  <pic:cNvPicPr>
                    <a:picLocks noChangeAspect="1" noChangeArrowheads="1"/>
                  </pic:cNvPicPr>
                </pic:nvPicPr>
                <pic:blipFill>
                  <a:blip r:embed="rId1"/>
                  <a:srcRect l="-20" t="-141" r="-20" b="-141"/>
                  <a:stretch>
                    <a:fillRect/>
                  </a:stretch>
                </pic:blipFill>
                <pic:spPr bwMode="auto">
                  <a:xfrm>
                    <a:off x="0" y="0"/>
                    <a:ext cx="6480175" cy="81026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94"/>
        </w:tabs>
        <w:ind w:left="754" w:hanging="754"/>
      </w:pPr>
      <w:rPr>
        <w:sz w:val="24"/>
        <w:b/>
        <w:szCs w:val="24"/>
        <w:bCs/>
        <w:rFonts w:ascii="Calibri" w:hAnsi="Calibri" w:cs="Calibri"/>
        <w:color w:val="FFFFFF"/>
      </w:rPr>
    </w:lvl>
    <w:lvl w:ilvl="1">
      <w:start w:val="1"/>
      <w:numFmt w:val="decimal"/>
      <w:lvlText w:val="%1.%2."/>
      <w:lvlJc w:val="left"/>
      <w:pPr>
        <w:tabs>
          <w:tab w:val="num" w:pos="794"/>
        </w:tabs>
        <w:ind w:left="794" w:hanging="794"/>
      </w:pPr>
      <w:rPr>
        <w:dstrike w:val="false"/>
        <w:strike w:val="false"/>
        <w:sz w:val="24"/>
        <w:b w:val="false"/>
        <w:szCs w:val="24"/>
        <w:bCs w:val="false"/>
        <w:rFonts w:ascii="Calibri" w:hAnsi="Calibri" w:eastAsia="Calibri" w:cs="Calibri"/>
        <w:color w:val="00000A"/>
        <w:lang w:eastAsia="en-US"/>
      </w:rPr>
    </w:lvl>
    <w:lvl w:ilvl="2">
      <w:start w:val="1"/>
      <w:numFmt w:val="decimal"/>
      <w:lvlText w:val="%1.%2.%3."/>
      <w:lvlJc w:val="left"/>
      <w:pPr>
        <w:tabs>
          <w:tab w:val="num" w:pos="1786"/>
        </w:tabs>
        <w:ind w:left="1786" w:hanging="793"/>
      </w:pPr>
      <w:rPr>
        <w:sz w:val="24"/>
        <w:b w:val="false"/>
        <w:szCs w:val="24"/>
        <w:bCs w:val="false"/>
        <w:rFonts w:ascii="Calibri" w:hAnsi="Calibri" w:eastAsia="Calibri" w:cs="Calibri"/>
        <w:color w:val="000000"/>
        <w:lang w:eastAsia="en-US"/>
      </w:rPr>
    </w:lvl>
    <w:lvl w:ilvl="3">
      <w:start w:val="1"/>
      <w:numFmt w:val="decimal"/>
      <w:lvlText w:val="%1.%2.%3.%4."/>
      <w:lvlJc w:val="left"/>
      <w:pPr>
        <w:tabs>
          <w:tab w:val="num" w:pos="1587"/>
        </w:tabs>
        <w:ind w:left="2381" w:hanging="794"/>
      </w:pPr>
      <w:rPr>
        <w:sz w:val="24"/>
        <w:b w:val="false"/>
        <w:szCs w:val="24"/>
        <w:bCs w:val="false"/>
        <w:rFonts w:ascii="Calibri" w:hAnsi="Calibri" w:cs="Calibri"/>
        <w:color w:val="000000"/>
      </w:rPr>
    </w:lvl>
    <w:lvl w:ilvl="4">
      <w:start w:val="1"/>
      <w:numFmt w:val="decimal"/>
      <w:lvlText w:val="%1.%2.%3.%4.%5."/>
      <w:lvlJc w:val="left"/>
      <w:pPr>
        <w:tabs>
          <w:tab w:val="num" w:pos="1985"/>
        </w:tabs>
        <w:ind w:left="2342" w:hanging="755"/>
      </w:pPr>
      <w:rPr/>
    </w:lvl>
    <w:lvl w:ilvl="5">
      <w:start w:val="1"/>
      <w:numFmt w:val="decimal"/>
      <w:lvlText w:val="%6."/>
      <w:lvlJc w:val="left"/>
      <w:pPr>
        <w:tabs>
          <w:tab w:val="num" w:pos="2381"/>
        </w:tabs>
        <w:ind w:left="2738" w:hanging="397"/>
      </w:pPr>
      <w:rPr/>
    </w:lvl>
    <w:lvl w:ilvl="6">
      <w:start w:val="1"/>
      <w:numFmt w:val="decimal"/>
      <w:lvlText w:val="%7."/>
      <w:lvlJc w:val="left"/>
      <w:pPr>
        <w:tabs>
          <w:tab w:val="num" w:pos="2778"/>
        </w:tabs>
        <w:ind w:left="3135" w:hanging="397"/>
      </w:pPr>
      <w:rPr/>
    </w:lvl>
    <w:lvl w:ilvl="7">
      <w:start w:val="1"/>
      <w:numFmt w:val="decimal"/>
      <w:lvlText w:val="%8."/>
      <w:lvlJc w:val="left"/>
      <w:pPr>
        <w:tabs>
          <w:tab w:val="num" w:pos="3175"/>
        </w:tabs>
        <w:ind w:left="3532" w:hanging="397"/>
      </w:pPr>
      <w:rPr/>
    </w:lvl>
    <w:lvl w:ilvl="8">
      <w:start w:val="1"/>
      <w:numFmt w:val="decimal"/>
      <w:lvlText w:val="%9."/>
      <w:lvlJc w:val="left"/>
      <w:pPr>
        <w:tabs>
          <w:tab w:val="num" w:pos="3572"/>
        </w:tabs>
        <w:ind w:left="3929" w:hanging="397"/>
      </w:pPr>
      <w:rPr/>
    </w:lvl>
  </w:abstractNum>
  <w:abstractNum w:abstractNumId="2">
    <w:lvl w:ilvl="0">
      <w:start w:val="1"/>
      <w:numFmt w:val="lowerLetter"/>
      <w:lvlText w:val="%1)"/>
      <w:lvlJc w:val="left"/>
      <w:pPr>
        <w:tabs>
          <w:tab w:val="num" w:pos="720"/>
        </w:tabs>
        <w:ind w:left="720" w:hanging="360"/>
      </w:pPr>
      <w:rPr/>
    </w:lvl>
    <w:lvl w:ilvl="1">
      <w:start w:val="1"/>
      <w:numFmt w:val="lowerLetter"/>
      <w:lvlText w:val="%2)"/>
      <w:lvlJc w:val="left"/>
      <w:pPr>
        <w:tabs>
          <w:tab w:val="num" w:pos="1080"/>
        </w:tabs>
        <w:ind w:left="1080" w:hanging="360"/>
      </w:pPr>
      <w:rPr/>
    </w:lvl>
    <w:lvl w:ilvl="2">
      <w:start w:val="1"/>
      <w:numFmt w:val="lowerLetter"/>
      <w:lvlText w:val="%3)"/>
      <w:lvlJc w:val="left"/>
      <w:pPr>
        <w:tabs>
          <w:tab w:val="num" w:pos="1440"/>
        </w:tabs>
        <w:ind w:left="1440" w:hanging="360"/>
      </w:pPr>
      <w:rPr/>
    </w:lvl>
    <w:lvl w:ilvl="3">
      <w:start w:val="1"/>
      <w:numFmt w:val="lowerLetter"/>
      <w:lvlText w:val="%4)"/>
      <w:lvlJc w:val="left"/>
      <w:pPr>
        <w:tabs>
          <w:tab w:val="num" w:pos="1800"/>
        </w:tabs>
        <w:ind w:left="1800" w:hanging="360"/>
      </w:pPr>
      <w:rPr/>
    </w:lvl>
    <w:lvl w:ilvl="4">
      <w:start w:val="1"/>
      <w:numFmt w:val="lowerLetter"/>
      <w:lvlText w:val="%5)"/>
      <w:lvlJc w:val="left"/>
      <w:pPr>
        <w:tabs>
          <w:tab w:val="num" w:pos="2160"/>
        </w:tabs>
        <w:ind w:left="2160" w:hanging="360"/>
      </w:pPr>
      <w:rPr/>
    </w:lvl>
    <w:lvl w:ilvl="5">
      <w:start w:val="1"/>
      <w:numFmt w:val="lowerLetter"/>
      <w:lvlText w:val="%6)"/>
      <w:lvlJc w:val="left"/>
      <w:pPr>
        <w:tabs>
          <w:tab w:val="num" w:pos="2520"/>
        </w:tabs>
        <w:ind w:left="2520" w:hanging="360"/>
      </w:pPr>
      <w:rPr/>
    </w:lvl>
    <w:lvl w:ilvl="6">
      <w:start w:val="1"/>
      <w:numFmt w:val="lowerLetter"/>
      <w:lvlText w:val="%7)"/>
      <w:lvlJc w:val="left"/>
      <w:pPr>
        <w:tabs>
          <w:tab w:val="num" w:pos="2880"/>
        </w:tabs>
        <w:ind w:left="2880" w:hanging="360"/>
      </w:pPr>
      <w:rPr/>
    </w:lvl>
    <w:lvl w:ilvl="7">
      <w:start w:val="1"/>
      <w:numFmt w:val="lowerLetter"/>
      <w:lvlText w:val="%8)"/>
      <w:lvlJc w:val="left"/>
      <w:pPr>
        <w:tabs>
          <w:tab w:val="num" w:pos="3240"/>
        </w:tabs>
        <w:ind w:left="3240" w:hanging="360"/>
      </w:pPr>
      <w:rPr/>
    </w:lvl>
    <w:lvl w:ilvl="8">
      <w:start w:val="1"/>
      <w:numFmt w:val="lowerLetter"/>
      <w:lvlText w:val="%9)"/>
      <w:lvlJc w:val="left"/>
      <w:pPr>
        <w:tabs>
          <w:tab w:val="num" w:pos="3600"/>
        </w:tabs>
        <w:ind w:left="3600" w:hanging="360"/>
      </w:pPr>
      <w:rPr/>
    </w:lvl>
  </w:abstractNum>
  <w:abstractNum w:abstractNumId="3">
    <w:lvl w:ilvl="0">
      <w:start w:val="1"/>
      <w:numFmt w:val="upperRoman"/>
      <w:lvlText w:val="%1."/>
      <w:lvlJc w:val="left"/>
      <w:pPr>
        <w:tabs>
          <w:tab w:val="num" w:pos="720"/>
        </w:tabs>
        <w:ind w:left="720" w:hanging="360"/>
      </w:pPr>
      <w:rPr/>
    </w:lvl>
    <w:lvl w:ilvl="1">
      <w:start w:val="1"/>
      <w:numFmt w:val="lowerLetter"/>
      <w:lvlText w:val="%2)"/>
      <w:lvlJc w:val="left"/>
      <w:pPr>
        <w:tabs>
          <w:tab w:val="num" w:pos="1080"/>
        </w:tabs>
        <w:ind w:left="1080" w:hanging="360"/>
      </w:pPr>
      <w:rPr/>
    </w:lvl>
    <w:lvl w:ilvl="2">
      <w:start w:val="1"/>
      <w:numFmt w:val="lowerLetter"/>
      <w:lvlText w:val="%3)"/>
      <w:lvlJc w:val="left"/>
      <w:pPr>
        <w:tabs>
          <w:tab w:val="num" w:pos="1440"/>
        </w:tabs>
        <w:ind w:left="1440" w:hanging="360"/>
      </w:pPr>
      <w:rPr/>
    </w:lvl>
    <w:lvl w:ilvl="3">
      <w:start w:val="1"/>
      <w:numFmt w:val="lowerLetter"/>
      <w:lvlText w:val="%4)"/>
      <w:lvlJc w:val="left"/>
      <w:pPr>
        <w:tabs>
          <w:tab w:val="num" w:pos="1800"/>
        </w:tabs>
        <w:ind w:left="1800" w:hanging="360"/>
      </w:pPr>
      <w:rPr/>
    </w:lvl>
    <w:lvl w:ilvl="4">
      <w:start w:val="1"/>
      <w:numFmt w:val="lowerLetter"/>
      <w:lvlText w:val="%5)"/>
      <w:lvlJc w:val="left"/>
      <w:pPr>
        <w:tabs>
          <w:tab w:val="num" w:pos="2160"/>
        </w:tabs>
        <w:ind w:left="2160" w:hanging="360"/>
      </w:pPr>
      <w:rPr/>
    </w:lvl>
    <w:lvl w:ilvl="5">
      <w:start w:val="1"/>
      <w:numFmt w:val="lowerLetter"/>
      <w:lvlText w:val="%6)"/>
      <w:lvlJc w:val="left"/>
      <w:pPr>
        <w:tabs>
          <w:tab w:val="num" w:pos="2520"/>
        </w:tabs>
        <w:ind w:left="2520" w:hanging="360"/>
      </w:pPr>
      <w:rPr/>
    </w:lvl>
    <w:lvl w:ilvl="6">
      <w:start w:val="1"/>
      <w:numFmt w:val="lowerLetter"/>
      <w:lvlText w:val="%7)"/>
      <w:lvlJc w:val="left"/>
      <w:pPr>
        <w:tabs>
          <w:tab w:val="num" w:pos="2880"/>
        </w:tabs>
        <w:ind w:left="2880" w:hanging="360"/>
      </w:pPr>
      <w:rPr/>
    </w:lvl>
    <w:lvl w:ilvl="7">
      <w:start w:val="1"/>
      <w:numFmt w:val="lowerLetter"/>
      <w:lvlText w:val="%8)"/>
      <w:lvlJc w:val="left"/>
      <w:pPr>
        <w:tabs>
          <w:tab w:val="num" w:pos="3240"/>
        </w:tabs>
        <w:ind w:left="3240" w:hanging="360"/>
      </w:pPr>
      <w:rPr/>
    </w:lvl>
    <w:lvl w:ilvl="8">
      <w:start w:val="1"/>
      <w:numFmt w:val="lowerLetter"/>
      <w:lvlText w:val="%9)"/>
      <w:lvlJc w:val="left"/>
      <w:pPr>
        <w:tabs>
          <w:tab w:val="num" w:pos="3600"/>
        </w:tabs>
        <w:ind w:left="3600" w:hanging="360"/>
      </w:pPr>
      <w:rPr/>
    </w:lvl>
  </w:abstractNum>
  <w:abstractNum w:abstractNumId="4">
    <w:lvl w:ilvl="0">
      <w:start w:val="1"/>
      <w:numFmt w:val="lowerLetter"/>
      <w:lvlText w:val="%1)"/>
      <w:lvlJc w:val="left"/>
      <w:pPr>
        <w:tabs>
          <w:tab w:val="num" w:pos="720"/>
        </w:tabs>
        <w:ind w:left="720" w:hanging="360"/>
      </w:pPr>
      <w:rPr/>
    </w:lvl>
    <w:lvl w:ilvl="1">
      <w:start w:val="1"/>
      <w:numFmt w:val="lowerLetter"/>
      <w:lvlText w:val="%2)"/>
      <w:lvlJc w:val="left"/>
      <w:pPr>
        <w:tabs>
          <w:tab w:val="num" w:pos="1080"/>
        </w:tabs>
        <w:ind w:left="1080" w:hanging="360"/>
      </w:pPr>
      <w:rPr/>
    </w:lvl>
    <w:lvl w:ilvl="2">
      <w:start w:val="1"/>
      <w:numFmt w:val="lowerLetter"/>
      <w:lvlText w:val="%3)"/>
      <w:lvlJc w:val="left"/>
      <w:pPr>
        <w:tabs>
          <w:tab w:val="num" w:pos="1440"/>
        </w:tabs>
        <w:ind w:left="1440" w:hanging="360"/>
      </w:pPr>
      <w:rPr/>
    </w:lvl>
    <w:lvl w:ilvl="3">
      <w:start w:val="1"/>
      <w:numFmt w:val="lowerLetter"/>
      <w:lvlText w:val="%4)"/>
      <w:lvlJc w:val="left"/>
      <w:pPr>
        <w:tabs>
          <w:tab w:val="num" w:pos="1800"/>
        </w:tabs>
        <w:ind w:left="1800" w:hanging="360"/>
      </w:pPr>
      <w:rPr/>
    </w:lvl>
    <w:lvl w:ilvl="4">
      <w:start w:val="1"/>
      <w:numFmt w:val="lowerLetter"/>
      <w:lvlText w:val="%5)"/>
      <w:lvlJc w:val="left"/>
      <w:pPr>
        <w:tabs>
          <w:tab w:val="num" w:pos="2160"/>
        </w:tabs>
        <w:ind w:left="2160" w:hanging="360"/>
      </w:pPr>
      <w:rPr/>
    </w:lvl>
    <w:lvl w:ilvl="5">
      <w:start w:val="1"/>
      <w:numFmt w:val="lowerLetter"/>
      <w:lvlText w:val="%6)"/>
      <w:lvlJc w:val="left"/>
      <w:pPr>
        <w:tabs>
          <w:tab w:val="num" w:pos="2520"/>
        </w:tabs>
        <w:ind w:left="2520" w:hanging="360"/>
      </w:pPr>
      <w:rPr/>
    </w:lvl>
    <w:lvl w:ilvl="6">
      <w:start w:val="1"/>
      <w:numFmt w:val="lowerLetter"/>
      <w:lvlText w:val="%7)"/>
      <w:lvlJc w:val="left"/>
      <w:pPr>
        <w:tabs>
          <w:tab w:val="num" w:pos="2880"/>
        </w:tabs>
        <w:ind w:left="2880" w:hanging="360"/>
      </w:pPr>
      <w:rPr/>
    </w:lvl>
    <w:lvl w:ilvl="7">
      <w:start w:val="1"/>
      <w:numFmt w:val="lowerLetter"/>
      <w:lvlText w:val="%8)"/>
      <w:lvlJc w:val="left"/>
      <w:pPr>
        <w:tabs>
          <w:tab w:val="num" w:pos="3240"/>
        </w:tabs>
        <w:ind w:left="3240" w:hanging="360"/>
      </w:pPr>
      <w:rPr/>
    </w:lvl>
    <w:lvl w:ilvl="8">
      <w:start w:val="1"/>
      <w:numFmt w:val="lowerLetter"/>
      <w:lvlText w:val="%9)"/>
      <w:lvlJc w:val="left"/>
      <w:pPr>
        <w:tabs>
          <w:tab w:val="num" w:pos="3600"/>
        </w:tabs>
        <w:ind w:left="3600" w:hanging="360"/>
      </w:pPr>
      <w:rPr/>
    </w:lvl>
  </w:abstractNum>
  <w:abstractNum w:abstractNumId="5">
    <w:lvl w:ilvl="0">
      <w:start w:val="1"/>
      <w:numFmt w:val="lowerLetter"/>
      <w:lvlText w:val="%1)"/>
      <w:lvlJc w:val="left"/>
      <w:pPr>
        <w:tabs>
          <w:tab w:val="num" w:pos="720"/>
        </w:tabs>
        <w:ind w:left="720" w:hanging="360"/>
      </w:pPr>
      <w:rPr/>
    </w:lvl>
    <w:lvl w:ilvl="1">
      <w:start w:val="1"/>
      <w:numFmt w:val="lowerLetter"/>
      <w:lvlText w:val="%2)"/>
      <w:lvlJc w:val="left"/>
      <w:pPr>
        <w:tabs>
          <w:tab w:val="num" w:pos="1080"/>
        </w:tabs>
        <w:ind w:left="1080" w:hanging="360"/>
      </w:pPr>
      <w:rPr/>
    </w:lvl>
    <w:lvl w:ilvl="2">
      <w:start w:val="1"/>
      <w:numFmt w:val="lowerLetter"/>
      <w:lvlText w:val="%3)"/>
      <w:lvlJc w:val="left"/>
      <w:pPr>
        <w:tabs>
          <w:tab w:val="num" w:pos="1440"/>
        </w:tabs>
        <w:ind w:left="1440" w:hanging="360"/>
      </w:pPr>
      <w:rPr/>
    </w:lvl>
    <w:lvl w:ilvl="3">
      <w:start w:val="1"/>
      <w:numFmt w:val="lowerLetter"/>
      <w:lvlText w:val="%4)"/>
      <w:lvlJc w:val="left"/>
      <w:pPr>
        <w:tabs>
          <w:tab w:val="num" w:pos="1800"/>
        </w:tabs>
        <w:ind w:left="1800" w:hanging="360"/>
      </w:pPr>
      <w:rPr/>
    </w:lvl>
    <w:lvl w:ilvl="4">
      <w:start w:val="1"/>
      <w:numFmt w:val="lowerLetter"/>
      <w:lvlText w:val="%5)"/>
      <w:lvlJc w:val="left"/>
      <w:pPr>
        <w:tabs>
          <w:tab w:val="num" w:pos="2160"/>
        </w:tabs>
        <w:ind w:left="2160" w:hanging="360"/>
      </w:pPr>
      <w:rPr/>
    </w:lvl>
    <w:lvl w:ilvl="5">
      <w:start w:val="1"/>
      <w:numFmt w:val="lowerLetter"/>
      <w:lvlText w:val="%6)"/>
      <w:lvlJc w:val="left"/>
      <w:pPr>
        <w:tabs>
          <w:tab w:val="num" w:pos="2520"/>
        </w:tabs>
        <w:ind w:left="2520" w:hanging="360"/>
      </w:pPr>
      <w:rPr/>
    </w:lvl>
    <w:lvl w:ilvl="6">
      <w:start w:val="1"/>
      <w:numFmt w:val="lowerLetter"/>
      <w:lvlText w:val="%7)"/>
      <w:lvlJc w:val="left"/>
      <w:pPr>
        <w:tabs>
          <w:tab w:val="num" w:pos="2880"/>
        </w:tabs>
        <w:ind w:left="2880" w:hanging="360"/>
      </w:pPr>
      <w:rPr/>
    </w:lvl>
    <w:lvl w:ilvl="7">
      <w:start w:val="1"/>
      <w:numFmt w:val="lowerLetter"/>
      <w:lvlText w:val="%8)"/>
      <w:lvlJc w:val="left"/>
      <w:pPr>
        <w:tabs>
          <w:tab w:val="num" w:pos="3240"/>
        </w:tabs>
        <w:ind w:left="3240" w:hanging="360"/>
      </w:pPr>
      <w:rPr/>
    </w:lvl>
    <w:lvl w:ilvl="8">
      <w:start w:val="1"/>
      <w:numFmt w:val="lowerLetter"/>
      <w:lvlText w:val="%9)"/>
      <w:lvlJc w:val="left"/>
      <w:pPr>
        <w:tabs>
          <w:tab w:val="num" w:pos="3600"/>
        </w:tabs>
        <w:ind w:left="3600" w:hanging="36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0"/>
  <w:defaultTabStop w:val="720"/>
  <w:autoHyphenation w:val="true"/>
  <w:hyphenationZone w:val="425"/>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t-BR"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Liberation Serif;Times New Roma" w:hAnsi="Liberation Serif;Times New Roma" w:eastAsia="NSimSun" w:cs="Lucida Sans"/>
      <w:color w:val="auto"/>
      <w:kern w:val="2"/>
      <w:sz w:val="24"/>
      <w:szCs w:val="24"/>
      <w:lang w:val="pt-BR" w:eastAsia="zh-CN" w:bidi="hi-IN"/>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Calibri" w:hAnsi="Calibri" w:cs="Calibri"/>
      <w:b/>
      <w:bCs/>
      <w:color w:val="FFFFFF"/>
      <w:sz w:val="24"/>
      <w:szCs w:val="24"/>
    </w:rPr>
  </w:style>
  <w:style w:type="character" w:styleId="WW8Num2z1" w:customStyle="1">
    <w:name w:val="WW8Num2z1"/>
    <w:qFormat/>
    <w:rPr>
      <w:rFonts w:ascii="Calibri" w:hAnsi="Calibri" w:eastAsia="Calibri" w:cs="Calibri"/>
      <w:b w:val="false"/>
      <w:bCs w:val="false"/>
      <w:strike w:val="false"/>
      <w:dstrike w:val="false"/>
      <w:color w:val="00000A"/>
      <w:sz w:val="24"/>
      <w:szCs w:val="24"/>
      <w:lang w:eastAsia="en-US"/>
    </w:rPr>
  </w:style>
  <w:style w:type="character" w:styleId="WW8Num2z2" w:customStyle="1">
    <w:name w:val="WW8Num2z2"/>
    <w:qFormat/>
    <w:rPr>
      <w:rFonts w:ascii="Calibri" w:hAnsi="Calibri" w:eastAsia="Calibri" w:cs="Calibri"/>
      <w:b w:val="false"/>
      <w:bCs w:val="false"/>
      <w:color w:val="000000"/>
      <w:sz w:val="24"/>
      <w:szCs w:val="24"/>
      <w:lang w:eastAsia="en-US"/>
    </w:rPr>
  </w:style>
  <w:style w:type="character" w:styleId="WW8Num2z3" w:customStyle="1">
    <w:name w:val="WW8Num2z3"/>
    <w:qFormat/>
    <w:rPr>
      <w:rFonts w:ascii="Calibri" w:hAnsi="Calibri" w:cs="Calibri"/>
      <w:b w:val="false"/>
      <w:bCs w:val="false"/>
      <w:color w:val="000000"/>
      <w:sz w:val="24"/>
      <w:szCs w:val="24"/>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Fontepargpadro1" w:customStyle="1">
    <w:name w:val="Fonte parág. padrão1"/>
    <w:qFormat/>
    <w:rPr/>
  </w:style>
  <w:style w:type="character" w:styleId="LinkdaInternet" w:customStyle="1">
    <w:name w:val="Hyperlink"/>
    <w:basedOn w:val="DefaultParagraphFont"/>
    <w:uiPriority w:val="99"/>
    <w:semiHidden/>
    <w:unhideWhenUsed/>
    <w:rsid w:val="00c63071"/>
    <w:rPr>
      <w:color w:val="0000FF"/>
      <w:u w:val="single"/>
    </w:rPr>
  </w:style>
  <w:style w:type="character" w:styleId="Smbolosdenumerao" w:customStyle="1">
    <w:name w:val="Símbolos de numeração"/>
    <w:qFormat/>
    <w:rPr/>
  </w:style>
  <w:style w:type="character" w:styleId="Entradadousurio" w:customStyle="1">
    <w:name w:val="Entrada do usuário"/>
    <w:qFormat/>
    <w:rPr>
      <w:rFonts w:ascii="Liberation Mono;Courier New" w:hAnsi="Liberation Mono;Courier New" w:eastAsia="NSimSun" w:cs="Liberation Mono;Courier New"/>
      <w:color w:val="00000A"/>
    </w:rPr>
  </w:style>
  <w:style w:type="character" w:styleId="Linkdainternetvisitado" w:customStyle="1">
    <w:name w:val="FollowedHyperlink"/>
    <w:rPr>
      <w:color w:val="800000"/>
      <w:u w:val="single"/>
    </w:rPr>
  </w:style>
  <w:style w:type="character" w:styleId="Marcas" w:customStyle="1">
    <w:name w:val="Marcas"/>
    <w:qFormat/>
    <w:rPr>
      <w:rFonts w:ascii="OpenSymbol;Arial Unicode MS" w:hAnsi="OpenSymbol;Arial Unicode MS" w:eastAsia="OpenSymbol;Arial Unicode MS" w:cs="OpenSymbol;Arial Unicode MS"/>
    </w:rPr>
  </w:style>
  <w:style w:type="character" w:styleId="TextodecomentrioChar" w:customStyle="1">
    <w:name w:val="Texto de comentário Char"/>
    <w:basedOn w:val="DefaultParagraphFont"/>
    <w:link w:val="Annotationtext"/>
    <w:uiPriority w:val="99"/>
    <w:semiHidden/>
    <w:qFormat/>
    <w:rPr>
      <w:rFonts w:ascii="Liberation Serif;Times New Roma" w:hAnsi="Liberation Serif;Times New Roma" w:cs="Mangal"/>
      <w:kern w:val="2"/>
      <w:sz w:val="20"/>
      <w:szCs w:val="18"/>
    </w:rPr>
  </w:style>
  <w:style w:type="character" w:styleId="Annotationreference">
    <w:name w:val="annotation reference"/>
    <w:basedOn w:val="DefaultParagraphFont"/>
    <w:uiPriority w:val="99"/>
    <w:semiHidden/>
    <w:unhideWhenUsed/>
    <w:qFormat/>
    <w:rPr>
      <w:sz w:val="16"/>
      <w:szCs w:val="16"/>
    </w:rPr>
  </w:style>
  <w:style w:type="character" w:styleId="TextodebaloChar" w:customStyle="1">
    <w:name w:val="Texto de balão Char"/>
    <w:basedOn w:val="DefaultParagraphFont"/>
    <w:link w:val="BalloonText"/>
    <w:uiPriority w:val="99"/>
    <w:semiHidden/>
    <w:qFormat/>
    <w:rsid w:val="006d06b0"/>
    <w:rPr>
      <w:rFonts w:ascii="Tahoma" w:hAnsi="Tahoma" w:cs="Mangal"/>
      <w:kern w:val="2"/>
      <w:sz w:val="16"/>
      <w:szCs w:val="14"/>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style>
  <w:style w:type="paragraph" w:styleId="Legenda">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style>
  <w:style w:type="paragraph" w:styleId="Ttulododocumento">
    <w:name w:val="Title"/>
    <w:basedOn w:val="Normal"/>
    <w:next w:val="Corpodotexto"/>
    <w:uiPriority w:val="10"/>
    <w:qFormat/>
    <w:pPr>
      <w:keepNext w:val="true"/>
      <w:spacing w:before="240" w:after="120"/>
    </w:pPr>
    <w:rPr>
      <w:rFonts w:ascii="Liberation Sans;Arial" w:hAnsi="Liberation Sans;Arial" w:eastAsia="Microsoft YaHei"/>
      <w:sz w:val="28"/>
      <w:szCs w:val="28"/>
    </w:rPr>
  </w:style>
  <w:style w:type="paragraph" w:styleId="Caption">
    <w:name w:val="caption"/>
    <w:basedOn w:val="Normal"/>
    <w:qFormat/>
    <w:pPr>
      <w:suppressLineNumbers/>
      <w:spacing w:before="120" w:after="120"/>
    </w:pPr>
    <w:rPr>
      <w:i/>
      <w:iCs/>
    </w:rPr>
  </w:style>
  <w:style w:type="paragraph" w:styleId="CabealhoeRodap" w:customStyle="1">
    <w:name w:val="Cabeçalho e Rodapé"/>
    <w:basedOn w:val="Normal"/>
    <w:qFormat/>
    <w:pPr>
      <w:suppressLineNumbers/>
      <w:tabs>
        <w:tab w:val="clear" w:pos="720"/>
        <w:tab w:val="center" w:pos="4819" w:leader="none"/>
        <w:tab w:val="right" w:pos="9638" w:leader="none"/>
      </w:tabs>
    </w:pPr>
    <w:rPr/>
  </w:style>
  <w:style w:type="paragraph" w:styleId="Cabealho">
    <w:name w:val="Header"/>
    <w:basedOn w:val="CabealhoeRodap"/>
    <w:pPr/>
    <w:rPr/>
  </w:style>
  <w:style w:type="paragraph" w:styleId="Rodap">
    <w:name w:val="Footer"/>
    <w:basedOn w:val="CabealhoeRodap"/>
    <w:pPr/>
    <w:rPr/>
  </w:style>
  <w:style w:type="paragraph" w:styleId="Contedodalista" w:customStyle="1">
    <w:name w:val="Conteúdo da lista"/>
    <w:basedOn w:val="Normal"/>
    <w:qFormat/>
    <w:pPr>
      <w:ind w:left="567" w:hanging="0"/>
    </w:pPr>
    <w:rPr/>
  </w:style>
  <w:style w:type="paragraph" w:styleId="Rodap1" w:customStyle="1">
    <w:name w:val="Rodapé1"/>
    <w:basedOn w:val="Normal"/>
    <w:qFormat/>
    <w:pPr>
      <w:tabs>
        <w:tab w:val="clear" w:pos="720"/>
        <w:tab w:val="center" w:pos="4419" w:leader="none"/>
        <w:tab w:val="right" w:pos="8838" w:leader="none"/>
      </w:tabs>
    </w:pPr>
    <w:rPr>
      <w:rFonts w:ascii="Times New Roman" w:hAnsi="Times New Roman" w:eastAsia="Times New Roman" w:cs="Times New Roman"/>
      <w:color w:val="00000A"/>
      <w:sz w:val="20"/>
      <w:szCs w:val="20"/>
      <w:lang w:bidi="ar-SA"/>
    </w:rPr>
  </w:style>
  <w:style w:type="paragraph" w:styleId="CREMERJ" w:customStyle="1">
    <w:name w:val="CREMERJ"/>
    <w:basedOn w:val="Cabealho"/>
    <w:qFormat/>
    <w:pPr>
      <w:tabs>
        <w:tab w:val="left" w:pos="794" w:leader="none"/>
        <w:tab w:val="center" w:pos="4819" w:leader="none"/>
        <w:tab w:val="right" w:pos="9638" w:leader="none"/>
      </w:tabs>
      <w:ind w:left="754" w:hanging="754"/>
      <w:jc w:val="both"/>
    </w:pPr>
    <w:rPr>
      <w:rFonts w:ascii="Times New Roman" w:hAnsi="Times New Roman" w:cs="Times New Roman"/>
    </w:rPr>
  </w:style>
  <w:style w:type="paragraph" w:styleId="Contedodatabela" w:customStyle="1">
    <w:name w:val="Conteúdo da tabela"/>
    <w:basedOn w:val="Standard"/>
    <w:qFormat/>
    <w:rsid w:val="00a16501"/>
    <w:pPr>
      <w:suppressLineNumbers/>
      <w:textAlignment w:val="baseline"/>
    </w:pPr>
    <w:rPr>
      <w:rFonts w:ascii="Liberation Serif" w:hAnsi="Liberation Serif" w:eastAsia="NSimSun" w:cs="Lucida Sans"/>
      <w:color w:val="auto"/>
    </w:rPr>
  </w:style>
  <w:style w:type="paragraph" w:styleId="Ttulodetabela" w:customStyle="1">
    <w:name w:val="Título de tabela"/>
    <w:basedOn w:val="Contedodatabela"/>
    <w:qFormat/>
    <w:pPr>
      <w:jc w:val="center"/>
    </w:pPr>
    <w:rPr>
      <w:b/>
      <w:bCs/>
    </w:rPr>
  </w:style>
  <w:style w:type="paragraph" w:styleId="Corpodetexto22" w:customStyle="1">
    <w:name w:val="Corpo de texto 22"/>
    <w:basedOn w:val="Normal"/>
    <w:qFormat/>
    <w:pPr>
      <w:tabs>
        <w:tab w:val="left" w:pos="720" w:leader="none"/>
        <w:tab w:val="left" w:pos="1440" w:leader="none"/>
        <w:tab w:val="left" w:pos="2160" w:leader="none"/>
        <w:tab w:val="left" w:pos="2880" w:leader="none"/>
      </w:tabs>
      <w:spacing w:lineRule="atLeast" w:line="240" w:before="280" w:after="280"/>
      <w:jc w:val="both"/>
    </w:pPr>
    <w:rPr>
      <w:rFonts w:ascii="Arial" w:hAnsi="Arial" w:cs="Times New Roman"/>
      <w:b/>
      <w:bCs/>
      <w:color w:val="000000"/>
    </w:rPr>
  </w:style>
  <w:style w:type="paragraph" w:styleId="Corpodetexto21" w:customStyle="1">
    <w:name w:val="Corpo de texto 21"/>
    <w:basedOn w:val="Normal"/>
    <w:qFormat/>
    <w:pPr>
      <w:tabs>
        <w:tab w:val="left" w:pos="720" w:leader="none"/>
        <w:tab w:val="left" w:pos="1440" w:leader="none"/>
        <w:tab w:val="left" w:pos="2160" w:leader="none"/>
        <w:tab w:val="left" w:pos="2880" w:leader="none"/>
      </w:tabs>
      <w:spacing w:lineRule="atLeast" w:line="240" w:before="280" w:after="280"/>
      <w:jc w:val="both"/>
    </w:pPr>
    <w:rPr>
      <w:rFonts w:ascii="Arial" w:hAnsi="Arial" w:cs="Times New Roman"/>
      <w:b/>
      <w:bCs/>
      <w:color w:val="000000"/>
    </w:rPr>
  </w:style>
  <w:style w:type="paragraph" w:styleId="PargrafodaLista1" w:customStyle="1">
    <w:name w:val="Parágrafo da Lista1"/>
    <w:basedOn w:val="Normal"/>
    <w:qFormat/>
    <w:pPr>
      <w:spacing w:before="0" w:after="0"/>
      <w:ind w:left="720" w:hanging="0"/>
      <w:contextualSpacing/>
    </w:pPr>
    <w:rPr/>
  </w:style>
  <w:style w:type="paragraph" w:styleId="Standard" w:customStyle="1">
    <w:name w:val="Standard"/>
    <w:qFormat/>
    <w:pPr>
      <w:widowControl/>
      <w:suppressAutoHyphens w:val="true"/>
      <w:bidi w:val="0"/>
      <w:spacing w:before="0" w:after="0"/>
      <w:jc w:val="left"/>
    </w:pPr>
    <w:rPr>
      <w:rFonts w:ascii="Liberation Serif;Times New Roma" w:hAnsi="Liberation Serif;Times New Roma" w:eastAsia="SimSun" w:cs="Mangal"/>
      <w:color w:val="00000A"/>
      <w:kern w:val="2"/>
      <w:sz w:val="24"/>
      <w:szCs w:val="24"/>
      <w:lang w:val="pt-BR" w:eastAsia="zh-CN" w:bidi="hi-IN"/>
    </w:rPr>
  </w:style>
  <w:style w:type="paragraph" w:styleId="Corpodotextorecuado">
    <w:name w:val="Body Text Indent"/>
    <w:basedOn w:val="Normal"/>
    <w:pPr>
      <w:spacing w:before="0" w:after="120"/>
      <w:ind w:left="283" w:hanging="0"/>
    </w:pPr>
    <w:rPr>
      <w:rFonts w:cs="Times New Roman"/>
    </w:rPr>
  </w:style>
  <w:style w:type="paragraph" w:styleId="Default" w:customStyle="1">
    <w:name w:val="Default"/>
    <w:qFormat/>
    <w:pPr>
      <w:widowControl w:val="false"/>
      <w:suppressAutoHyphens w:val="true"/>
      <w:bidi w:val="0"/>
      <w:spacing w:before="0" w:after="0"/>
      <w:jc w:val="left"/>
    </w:pPr>
    <w:rPr>
      <w:rFonts w:ascii="Arial" w:hAnsi="Arial" w:cs="Mangal" w:eastAsia="NSimSun"/>
      <w:color w:val="000000"/>
      <w:kern w:val="2"/>
      <w:sz w:val="24"/>
      <w:szCs w:val="24"/>
      <w:lang w:val="pt-BR" w:eastAsia="zh-CN" w:bidi="hi-IN"/>
    </w:rPr>
  </w:style>
  <w:style w:type="paragraph" w:styleId="CREMERJ1" w:customStyle="1">
    <w:name w:val="CREMERJ_1"/>
    <w:basedOn w:val="Normal"/>
    <w:qFormat/>
    <w:pPr>
      <w:jc w:val="both"/>
    </w:pPr>
    <w:rPr/>
  </w:style>
  <w:style w:type="paragraph" w:styleId="ListParagraph">
    <w:name w:val="List Paragraph"/>
    <w:basedOn w:val="Normal"/>
    <w:qFormat/>
    <w:pPr>
      <w:spacing w:before="0" w:after="0"/>
      <w:ind w:left="720" w:hanging="0"/>
      <w:contextualSpacing/>
    </w:pPr>
    <w:rPr/>
  </w:style>
  <w:style w:type="paragraph" w:styleId="NormalWeb">
    <w:name w:val="Normal (Web)"/>
    <w:basedOn w:val="Normal"/>
    <w:uiPriority w:val="99"/>
    <w:qFormat/>
    <w:pPr>
      <w:spacing w:before="100" w:after="100"/>
    </w:pPr>
    <w:rPr/>
  </w:style>
  <w:style w:type="paragraph" w:styleId="Tabelanormal1" w:customStyle="1">
    <w:name w:val="Tabela normal1"/>
    <w:qFormat/>
    <w:pPr>
      <w:widowControl/>
      <w:suppressAutoHyphens w:val="true"/>
      <w:bidi w:val="0"/>
      <w:spacing w:before="0" w:after="0"/>
      <w:jc w:val="left"/>
    </w:pPr>
    <w:rPr>
      <w:rFonts w:ascii="Liberation Serif" w:hAnsi="Liberation Serif" w:eastAsia="NSimSun" w:cs="Lucida Sans"/>
      <w:color w:val="auto"/>
      <w:kern w:val="0"/>
      <w:sz w:val="24"/>
      <w:szCs w:val="24"/>
      <w:lang w:val="pt-BR" w:eastAsia="zh-CN" w:bidi="hi-IN"/>
    </w:rPr>
  </w:style>
  <w:style w:type="paragraph" w:styleId="Nivel2" w:customStyle="1">
    <w:name w:val="Nivel 2"/>
    <w:basedOn w:val="Normal"/>
    <w:qFormat/>
    <w:pPr>
      <w:spacing w:lineRule="auto" w:line="276" w:before="120" w:after="120"/>
      <w:jc w:val="both"/>
    </w:pPr>
    <w:rPr>
      <w:rFonts w:ascii="Arial" w:hAnsi="Arial" w:cs="Arial"/>
      <w:color w:val="000000"/>
    </w:rPr>
  </w:style>
  <w:style w:type="paragraph" w:styleId="Annotationtext">
    <w:name w:val="annotation text"/>
    <w:basedOn w:val="Normal"/>
    <w:link w:val="TextodecomentrioChar"/>
    <w:uiPriority w:val="99"/>
    <w:semiHidden/>
    <w:unhideWhenUsed/>
    <w:qFormat/>
    <w:pPr/>
    <w:rPr>
      <w:rFonts w:cs="Mangal"/>
      <w:sz w:val="20"/>
      <w:szCs w:val="18"/>
    </w:rPr>
  </w:style>
  <w:style w:type="paragraph" w:styleId="BalloonText">
    <w:name w:val="Balloon Text"/>
    <w:basedOn w:val="Normal"/>
    <w:link w:val="TextodebaloChar"/>
    <w:uiPriority w:val="99"/>
    <w:semiHidden/>
    <w:unhideWhenUsed/>
    <w:qFormat/>
    <w:rsid w:val="006d06b0"/>
    <w:pPr/>
    <w:rPr>
      <w:rFonts w:ascii="Tahoma" w:hAnsi="Tahoma" w:cs="Mangal"/>
      <w:sz w:val="16"/>
      <w:szCs w:val="14"/>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comments" Target="comment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footer2.xml.rels><?xml version="1.0" encoding="UTF-8"?>
<Relationships xmlns="http://schemas.openxmlformats.org/package/2006/relationships"><Relationship Id="rId1" Type="http://schemas.openxmlformats.org/officeDocument/2006/relationships/image" Target="media/image2.jpeg"/>
</Relationships>
</file>

<file path=word/_rels/footer3.xml.rels><?xml version="1.0" encoding="UTF-8"?>
<Relationships xmlns="http://schemas.openxmlformats.org/package/2006/relationships"><Relationship Id="rId1" Type="http://schemas.openxmlformats.org/officeDocument/2006/relationships/image" Target="media/image2.jpeg"/>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2108A-E81D-4F1E-A1FD-7C3B12C4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Application>LibreOffice/7.4.6.2$Windows_X86_64 LibreOffice_project/5b1f5509c2decdade7fda905e3e1429a67acd63d</Application>
  <AppVersion>15.0000</AppVersion>
  <Pages>18</Pages>
  <Words>5325</Words>
  <Characters>30250</Characters>
  <CharactersWithSpaces>35167</CharactersWithSpaces>
  <Paragraphs>298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2022-09-08T17:57:00Z</dcterms:created>
  <dc:creator>André Carvalho de Almeida</dc:creator>
  <dc:description/>
  <dc:language>pt-BR</dc:language>
  <cp:lastModifiedBy/>
  <cp:lastPrinted>2022-01-25T18:43:00Z</cp:lastPrinted>
  <dcterms:modified xsi:type="dcterms:W3CDTF">2023-06-14T13:34:17Z</dcterms:modified>
  <cp:revision>40</cp:revision>
  <dc:subject/>
  <dc:title>Projeto Básico - Dispensa Eletrônica</dc:title>
</cp:coreProperties>
</file>

<file path=docProps/custom.xml><?xml version="1.0" encoding="utf-8"?>
<Properties xmlns="http://schemas.openxmlformats.org/officeDocument/2006/custom-properties" xmlns:vt="http://schemas.openxmlformats.org/officeDocument/2006/docPropsVTypes"/>
</file>