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fill="38AB81"/>
        <w:jc w:val="center"/>
        <w:rPr>
          <w:rFonts w:ascii="Calibri" w:hAnsi="Calibri" w:cs="Calibri"/>
        </w:rPr>
      </w:pPr>
      <w:r>
        <w:rPr>
          <w:rFonts w:cs="Calibri" w:ascii="Calibri" w:hAnsi="Calibri"/>
          <w:b/>
          <w:bCs/>
          <w:color w:val="FFFFFF"/>
        </w:rPr>
        <w:t>ANEXO I – DOCUMENTAÇÃO EXIGIDA PARA HABILITAÇÃO</w:t>
      </w:r>
    </w:p>
    <w:p>
      <w:pPr>
        <w:pStyle w:val="Normal"/>
        <w:ind w:left="794" w:hanging="0"/>
        <w:jc w:val="both"/>
        <w:rPr>
          <w:rFonts w:ascii="Calibri" w:hAnsi="Calibri" w:cs="Calibri"/>
          <w:b/>
          <w:b/>
          <w:bCs/>
          <w:color w:val="FFFFFF"/>
        </w:rPr>
      </w:pPr>
      <w:r>
        <w:rPr>
          <w:rFonts w:cs="Calibri" w:ascii="Calibri" w:hAnsi="Calibri"/>
          <w:b/>
          <w:bCs/>
          <w:color w:val="FFFFFF"/>
        </w:rPr>
      </w:r>
    </w:p>
    <w:p>
      <w:pPr>
        <w:pStyle w:val="Normal"/>
        <w:numPr>
          <w:ilvl w:val="0"/>
          <w:numId w:val="1"/>
        </w:numPr>
        <w:shd w:val="clear" w:fill="38AB81"/>
        <w:jc w:val="both"/>
        <w:rPr>
          <w:rFonts w:ascii="Calibri" w:hAnsi="Calibri" w:cs="Calibri"/>
          <w:b/>
          <w:b/>
          <w:bCs/>
          <w:color w:val="FFFFFF"/>
        </w:rPr>
      </w:pPr>
      <w:r>
        <w:rPr>
          <w:rFonts w:cs="Calibri" w:ascii="Calibri" w:hAnsi="Calibri"/>
          <w:b/>
          <w:bCs/>
          <w:color w:val="FFFFFF"/>
        </w:rPr>
        <w:t>HABILITAÇÃO JURÍDICA</w:t>
      </w:r>
    </w:p>
    <w:p>
      <w:pPr>
        <w:pStyle w:val="Normal"/>
        <w:ind w:left="794" w:hanging="0"/>
        <w:jc w:val="both"/>
        <w:rPr>
          <w:rFonts w:ascii="Calibri" w:hAnsi="Calibri" w:cs="Calibri"/>
          <w:b/>
          <w:b/>
          <w:bCs/>
          <w:color w:val="FFFFFF"/>
        </w:rPr>
      </w:pPr>
      <w:r>
        <w:rPr>
          <w:rFonts w:cs="Calibri" w:ascii="Calibri" w:hAnsi="Calibri"/>
          <w:b/>
          <w:bCs/>
          <w:color w:val="FFFFFF"/>
        </w:rPr>
      </w:r>
    </w:p>
    <w:p>
      <w:pPr>
        <w:pStyle w:val="Normal"/>
        <w:numPr>
          <w:ilvl w:val="1"/>
          <w:numId w:val="1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No caso de empresário individual, inscrição no Registro Público de Empresas Mercantis, a cargo da Junta Comercial da respectiva sede;</w:t>
      </w:r>
    </w:p>
    <w:p>
      <w:pPr>
        <w:pStyle w:val="Normal"/>
        <w:ind w:left="794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numPr>
          <w:ilvl w:val="1"/>
          <w:numId w:val="1"/>
        </w:numPr>
        <w:jc w:val="both"/>
        <w:rPr/>
      </w:pPr>
      <w:r>
        <w:rPr>
          <w:rFonts w:cs="Calibri" w:ascii="Calibri" w:hAnsi="Calibri"/>
        </w:rPr>
        <w:t xml:space="preserve">Em se tratando de Microempreendedor Individual – MEI: Certificado da Condição de Microempreendedor Individual – CCMEI, cuja aceitação ficará condicionada à verificação da autenticidade no sítio </w:t>
      </w:r>
      <w:hyperlink r:id="rId2">
        <w:r>
          <w:rPr>
            <w:rStyle w:val="LinkdaInternet"/>
            <w:rFonts w:cs="Calibri" w:ascii="Calibri" w:hAnsi="Calibri"/>
          </w:rPr>
          <w:t>www.portaldoempreendedor.gov.br</w:t>
        </w:r>
      </w:hyperlink>
      <w:r>
        <w:rPr>
          <w:rFonts w:cs="Calibri" w:ascii="Calibri" w:hAnsi="Calibri"/>
        </w:rPr>
        <w:t>;</w:t>
      </w:r>
    </w:p>
    <w:p>
      <w:pPr>
        <w:pStyle w:val="Normal"/>
        <w:ind w:left="794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numPr>
          <w:ilvl w:val="1"/>
          <w:numId w:val="1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No caso de sociedade empresária ou empresa individual de responsabilidade limitada – EIRELI: ato constitutivo, estatuto ou contrato social em vigor, devidamente registrado na Junta Comercial da respectiva sede, acompanhado de documento comprobatório de seus administradores;</w:t>
      </w:r>
    </w:p>
    <w:p>
      <w:pPr>
        <w:pStyle w:val="Normal"/>
        <w:ind w:left="794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numPr>
          <w:ilvl w:val="1"/>
          <w:numId w:val="1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Inscrição no Registro Público de Empresas Mercantis onde opera, com averbação no Registro onde tem sede a matriz, no caso de ser o participante sucursal, filial ou agência;</w:t>
      </w:r>
    </w:p>
    <w:p>
      <w:pPr>
        <w:pStyle w:val="Normal"/>
        <w:ind w:left="794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numPr>
          <w:ilvl w:val="1"/>
          <w:numId w:val="1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No caso de sociedade simples: inscrição do ato constitutivo no Registro Civil das Pessoas Jurídicas do local de sua sede, acompanhada de prova da indicação dos seus administradores;</w:t>
      </w:r>
    </w:p>
    <w:p>
      <w:pPr>
        <w:pStyle w:val="Normal"/>
        <w:ind w:left="794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numPr>
          <w:ilvl w:val="1"/>
          <w:numId w:val="1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Decreto de autorização, em se tratando de sociedade empresária estrangeira em funcionamento no País;</w:t>
      </w:r>
    </w:p>
    <w:p>
      <w:pPr>
        <w:pStyle w:val="Normal"/>
        <w:ind w:left="794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numPr>
          <w:ilvl w:val="1"/>
          <w:numId w:val="1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Os documentos acima deverão estar acompanhados de todas as alterações ou da consolidação respectiva.</w:t>
      </w:r>
    </w:p>
    <w:p>
      <w:pPr>
        <w:pStyle w:val="Normal"/>
        <w:ind w:left="794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numPr>
          <w:ilvl w:val="0"/>
          <w:numId w:val="1"/>
        </w:numPr>
        <w:shd w:val="clear" w:fill="38AB81"/>
        <w:jc w:val="both"/>
        <w:rPr>
          <w:rFonts w:ascii="Calibri" w:hAnsi="Calibri" w:cs="Calibri"/>
        </w:rPr>
      </w:pPr>
      <w:r>
        <w:rPr>
          <w:rFonts w:cs="Calibri" w:ascii="Calibri" w:hAnsi="Calibri"/>
          <w:b/>
          <w:bCs/>
          <w:color w:val="FFFFFF"/>
        </w:rPr>
        <w:t>REGULARIDADE FISCAL, SOCIAL E TRABALHISTA:</w:t>
      </w:r>
    </w:p>
    <w:p>
      <w:pPr>
        <w:pStyle w:val="Normal"/>
        <w:ind w:left="794" w:hanging="0"/>
        <w:jc w:val="both"/>
        <w:rPr>
          <w:rFonts w:ascii="Calibri" w:hAnsi="Calibri" w:cs="Calibri"/>
          <w:color w:val="FFFFFF"/>
        </w:rPr>
      </w:pPr>
      <w:r>
        <w:rPr>
          <w:rFonts w:cs="Calibri" w:ascii="Calibri" w:hAnsi="Calibri"/>
          <w:color w:val="FFFFFF"/>
        </w:rPr>
      </w:r>
    </w:p>
    <w:p>
      <w:pPr>
        <w:pStyle w:val="Normal"/>
        <w:numPr>
          <w:ilvl w:val="1"/>
          <w:numId w:val="1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Prova de inscrição no Cadastro Nacional de Pessoas Jurídicas ou no Cadastro de Pessoas Físicas, conforme o caso;</w:t>
      </w:r>
    </w:p>
    <w:p>
      <w:pPr>
        <w:pStyle w:val="Normal"/>
        <w:ind w:left="794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numPr>
          <w:ilvl w:val="1"/>
          <w:numId w:val="1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Prova de regularidade fiscal perante a Fazenda Nacional, mediante apresentação de certidão expedida conjuntamente pela Secretaria da Receita Federal do Brasil (RFB) e pela Procuradoria-Geral da Fazenda Nacional (PGFN), referente a todos os créditos tributários federais e à Dívida Ativa da União (DAU) por elas administrados, inclusive aqueles relativos à Seguridade Social, nos termos da Portaria Conjunta nº 1.751, de 02/10/2014, do Secretário da Receita Federal do Brasil e da Procuradora-Geral da Fazenda Nacional.</w:t>
      </w:r>
    </w:p>
    <w:p>
      <w:pPr>
        <w:pStyle w:val="Normal"/>
        <w:ind w:left="794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numPr>
          <w:ilvl w:val="1"/>
          <w:numId w:val="1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Prova de regularidade com o Fundo de Garantia do Tempo de Serviço (FGTS);</w:t>
      </w:r>
    </w:p>
    <w:p>
      <w:pPr>
        <w:pStyle w:val="Normal"/>
        <w:ind w:left="794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numPr>
          <w:ilvl w:val="1"/>
          <w:numId w:val="1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Prova de inexistência de débitos inadimplidos perante a Justiça do Trabalho, mediante a apresentação de certidão negativa ou positiva com efeito de negativa, nos termos do Título VII-A da Consolidação das Leis do Trabalho, aprovada pelo Decreto-Lei nº 5.452, de 1º de maio de 1943;</w:t>
      </w:r>
    </w:p>
    <w:p>
      <w:pPr>
        <w:pStyle w:val="Normal"/>
        <w:ind w:left="794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numPr>
          <w:ilvl w:val="1"/>
          <w:numId w:val="1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Prova de inscrição no cadastro de contribuintes estadual e/ou municipal, relativo ao domicílio ou sede do fornecedor, pertinente ao seu ramo de atividade e compatível com o objeto contratual; </w:t>
      </w:r>
    </w:p>
    <w:p>
      <w:pPr>
        <w:pStyle w:val="Normal"/>
        <w:ind w:left="794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numPr>
          <w:ilvl w:val="1"/>
          <w:numId w:val="1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Prova de regularidade com a Fazenda Estadual e/ou Municipal do domicílio ou sede do fornecedor, relativa à atividade em cujo exercício contrata ou concorre;</w:t>
      </w:r>
    </w:p>
    <w:p>
      <w:pPr>
        <w:pStyle w:val="Normal"/>
        <w:ind w:left="794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numPr>
          <w:ilvl w:val="1"/>
          <w:numId w:val="1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Caso o fornecedor seja considerado isento dos tributos estaduais ou municipais relacionados ao objeto contratual, deverá comprovar tal condição mediante a apresentação de declaração da Fazenda respectiva do seu domicílio ou sede, ou outra equivalente, na forma da lei;</w:t>
      </w:r>
    </w:p>
    <w:p>
      <w:pPr>
        <w:pStyle w:val="Normal"/>
        <w:ind w:left="794" w:hanging="0"/>
        <w:jc w:val="both"/>
        <w:rPr>
          <w:rFonts w:ascii="Calibri" w:hAnsi="Calibri" w:cs="Calibri"/>
          <w:b/>
          <w:b/>
          <w:bCs/>
        </w:rPr>
      </w:pPr>
      <w:r>
        <w:rPr>
          <w:rFonts w:cs="Calibri" w:ascii="Calibri" w:hAnsi="Calibri"/>
          <w:b/>
          <w:bCs/>
        </w:rPr>
      </w:r>
    </w:p>
    <w:p>
      <w:pPr>
        <w:pStyle w:val="Normal"/>
        <w:numPr>
          <w:ilvl w:val="0"/>
          <w:numId w:val="1"/>
        </w:numPr>
        <w:shd w:val="clear" w:fill="38AB81"/>
        <w:jc w:val="both"/>
        <w:rPr>
          <w:rFonts w:ascii="Calibri" w:hAnsi="Calibri" w:cs="Calibri"/>
        </w:rPr>
      </w:pPr>
      <w:r>
        <w:rPr>
          <w:rFonts w:cs="Calibri" w:ascii="Calibri" w:hAnsi="Calibri"/>
          <w:b/>
          <w:bCs/>
          <w:color w:val="FFFFFF"/>
        </w:rPr>
        <w:t>QUALIFICAÇÃO ECONÔMICO-FINANCEIRA:</w:t>
      </w:r>
    </w:p>
    <w:p>
      <w:pPr>
        <w:pStyle w:val="Normal"/>
        <w:ind w:left="794" w:hanging="0"/>
        <w:jc w:val="both"/>
        <w:rPr>
          <w:rFonts w:ascii="Calibri" w:hAnsi="Calibri" w:cs="Calibri"/>
          <w:b/>
          <w:b/>
          <w:bCs/>
        </w:rPr>
      </w:pPr>
      <w:r>
        <w:rPr>
          <w:rFonts w:cs="Calibri" w:ascii="Calibri" w:hAnsi="Calibri"/>
          <w:b/>
          <w:bCs/>
        </w:rPr>
      </w:r>
    </w:p>
    <w:p>
      <w:pPr>
        <w:pStyle w:val="Normal"/>
        <w:numPr>
          <w:ilvl w:val="1"/>
          <w:numId w:val="1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Certidão negativa de falência expedida pelo distribuidor da sede do fornecedor;</w:t>
      </w:r>
    </w:p>
    <w:p>
      <w:pPr>
        <w:pStyle w:val="Normal"/>
        <w:ind w:left="794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numPr>
          <w:ilvl w:val="1"/>
          <w:numId w:val="1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Balanço patrimonial, demonstração de resultado de exercício e demais demonstrações contábeis dos 2 (dois) últimos exercícios sociais;</w:t>
      </w:r>
    </w:p>
    <w:p>
      <w:pPr>
        <w:pStyle w:val="Normal"/>
        <w:ind w:left="1587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numPr>
          <w:ilvl w:val="2"/>
          <w:numId w:val="1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As empresas criadas no exercício financeiro da dispensa deverão atender a todas as exigências da habilitação e poderão substituir os demonstrativos contábeis pelo balanço de abertura.</w:t>
      </w:r>
    </w:p>
    <w:p>
      <w:pPr>
        <w:pStyle w:val="Normal"/>
        <w:ind w:left="794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numPr>
          <w:ilvl w:val="2"/>
          <w:numId w:val="1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Os documentos referidos acima limitar-se-ão ao último exercício no caso de a pessoa jurídica ter sido constituída há menos de 2 (dois) anos.</w:t>
      </w:r>
    </w:p>
    <w:p>
      <w:pPr>
        <w:pStyle w:val="Normal"/>
        <w:ind w:left="794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numPr>
          <w:ilvl w:val="1"/>
          <w:numId w:val="1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comprovação da boa situação financeira da empresa mediante obtenção de índices de Liquidez Geral (LG), Solvência Geral (SG) e Liquidez Corrente (LC), superiores a 1 (um), obtidos pela aplicação das seguintes fórmulas:</w:t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51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424"/>
      </w:tblGrid>
      <w:tr>
        <w:trPr/>
        <w:tc>
          <w:tcPr>
            <w:tcW w:w="67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440" w:leader="none"/>
              </w:tabs>
              <w:snapToGrid w:val="false"/>
              <w:spacing w:lineRule="auto" w:line="276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color w:val="000000"/>
                <w:kern w:val="0"/>
                <w:lang w:bidi="ar-SA"/>
              </w:rPr>
              <w:t>LG =</w:t>
            </w:r>
          </w:p>
        </w:tc>
        <w:tc>
          <w:tcPr>
            <w:tcW w:w="4424" w:type="dxa"/>
            <w:tcBorders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440" w:leader="none"/>
              </w:tabs>
              <w:snapToGrid w:val="false"/>
              <w:spacing w:lineRule="auto" w:line="276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color w:val="000000"/>
                <w:kern w:val="0"/>
                <w:lang w:bidi="ar-SA"/>
              </w:rPr>
              <w:t>Ativo Circulante + Realizável a Longo Prazo</w:t>
            </w:r>
          </w:p>
        </w:tc>
      </w:tr>
      <w:tr>
        <w:trPr/>
        <w:tc>
          <w:tcPr>
            <w:tcW w:w="67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440" w:leader="none"/>
              </w:tabs>
              <w:snapToGrid w:val="false"/>
              <w:spacing w:lineRule="auto" w:line="27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</w:tc>
        <w:tc>
          <w:tcPr>
            <w:tcW w:w="442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440" w:leader="none"/>
              </w:tabs>
              <w:snapToGrid w:val="false"/>
              <w:spacing w:lineRule="auto" w:line="276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color w:val="000000"/>
                <w:kern w:val="0"/>
                <w:lang w:bidi="ar-SA"/>
              </w:rPr>
              <w:t>Passivo Circulante + Passivo Não Circulante</w:t>
            </w:r>
          </w:p>
        </w:tc>
      </w:tr>
    </w:tbl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51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424"/>
      </w:tblGrid>
      <w:tr>
        <w:trPr>
          <w:cantSplit w:val="true"/>
        </w:trPr>
        <w:tc>
          <w:tcPr>
            <w:tcW w:w="67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440" w:leader="none"/>
              </w:tabs>
              <w:snapToGrid w:val="false"/>
              <w:spacing w:lineRule="auto" w:line="276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color w:val="000000"/>
                <w:kern w:val="0"/>
                <w:lang w:bidi="ar-SA"/>
              </w:rPr>
              <w:t>SG =</w:t>
            </w:r>
          </w:p>
        </w:tc>
        <w:tc>
          <w:tcPr>
            <w:tcW w:w="4424" w:type="dxa"/>
            <w:tcBorders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440" w:leader="none"/>
              </w:tabs>
              <w:snapToGrid w:val="false"/>
              <w:spacing w:lineRule="auto" w:line="276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color w:val="000000"/>
                <w:kern w:val="0"/>
                <w:lang w:bidi="ar-SA"/>
              </w:rPr>
              <w:t>Ativo Total</w:t>
            </w:r>
          </w:p>
        </w:tc>
      </w:tr>
      <w:tr>
        <w:trPr>
          <w:cantSplit w:val="true"/>
        </w:trPr>
        <w:tc>
          <w:tcPr>
            <w:tcW w:w="67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440" w:leader="none"/>
              </w:tabs>
              <w:snapToGrid w:val="false"/>
              <w:spacing w:lineRule="auto" w:line="27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</w:tc>
        <w:tc>
          <w:tcPr>
            <w:tcW w:w="442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440" w:leader="none"/>
              </w:tabs>
              <w:snapToGrid w:val="false"/>
              <w:spacing w:lineRule="auto" w:line="276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color w:val="000000"/>
                <w:kern w:val="0"/>
                <w:lang w:bidi="ar-SA"/>
              </w:rPr>
              <w:t>Passivo Circulante + Passivo Não Circulante</w:t>
            </w:r>
          </w:p>
        </w:tc>
      </w:tr>
    </w:tbl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267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2039"/>
      </w:tblGrid>
      <w:tr>
        <w:trPr/>
        <w:tc>
          <w:tcPr>
            <w:tcW w:w="63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440" w:leader="none"/>
              </w:tabs>
              <w:snapToGrid w:val="false"/>
              <w:spacing w:lineRule="auto" w:line="276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color w:val="000000"/>
                <w:kern w:val="0"/>
                <w:lang w:bidi="ar-SA"/>
              </w:rPr>
              <w:t>LC =</w:t>
            </w:r>
          </w:p>
        </w:tc>
        <w:tc>
          <w:tcPr>
            <w:tcW w:w="2039" w:type="dxa"/>
            <w:tcBorders>
              <w:bottom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1440" w:leader="none"/>
              </w:tabs>
              <w:snapToGrid w:val="false"/>
              <w:spacing w:lineRule="auto" w:line="276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color w:val="000000"/>
                <w:kern w:val="0"/>
                <w:lang w:bidi="ar-SA"/>
              </w:rPr>
              <w:t>Ativo Circulante</w:t>
            </w:r>
          </w:p>
        </w:tc>
      </w:tr>
      <w:tr>
        <w:trPr/>
        <w:tc>
          <w:tcPr>
            <w:tcW w:w="63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440" w:leader="none"/>
              </w:tabs>
              <w:snapToGrid w:val="false"/>
              <w:spacing w:lineRule="auto" w:line="27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1440" w:leader="none"/>
              </w:tabs>
              <w:snapToGrid w:val="false"/>
              <w:spacing w:lineRule="auto" w:line="276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color w:val="000000"/>
                <w:kern w:val="0"/>
                <w:lang w:bidi="ar-SA"/>
              </w:rPr>
              <w:t>Passivo Circulante</w:t>
            </w:r>
          </w:p>
        </w:tc>
      </w:tr>
    </w:tbl>
    <w:p>
      <w:pPr>
        <w:pStyle w:val="Normal"/>
        <w:ind w:left="1587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numPr>
          <w:ilvl w:val="2"/>
          <w:numId w:val="1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As empresas, que apresentarem resultado inferior ou igual a 1(um) em qualquer dos índices de Liquidez Geral (LG), Solvência Geral (SG) e Liquidez Corrente (LC), deverão comprovar capital ou patrimônio líquido mínimo de 10% (dez por cento) do valor total estimado da contratação ou do item pertinente.</w:t>
      </w:r>
    </w:p>
    <w:p>
      <w:pPr>
        <w:pStyle w:val="Normal"/>
        <w:ind w:left="794" w:hanging="0"/>
        <w:jc w:val="both"/>
        <w:rPr>
          <w:rFonts w:ascii="Calibri" w:hAnsi="Calibri" w:cs="Calibri"/>
          <w:b/>
          <w:b/>
          <w:bCs/>
        </w:rPr>
      </w:pPr>
      <w:r>
        <w:rPr>
          <w:rFonts w:cs="Calibri" w:ascii="Calibri" w:hAnsi="Calibri"/>
          <w:b/>
          <w:bCs/>
        </w:rPr>
      </w:r>
    </w:p>
    <w:p>
      <w:pPr>
        <w:pStyle w:val="Normal"/>
        <w:numPr>
          <w:ilvl w:val="0"/>
          <w:numId w:val="1"/>
        </w:numPr>
        <w:shd w:val="clear" w:fill="38AB81"/>
        <w:jc w:val="both"/>
        <w:rPr>
          <w:rFonts w:ascii="Calibri" w:hAnsi="Calibri" w:cs="Calibri"/>
        </w:rPr>
      </w:pPr>
      <w:r>
        <w:rPr>
          <w:rFonts w:cs="Calibri" w:ascii="Calibri" w:hAnsi="Calibri"/>
          <w:b/>
          <w:bCs/>
          <w:color w:val="FFFFFF"/>
        </w:rPr>
        <w:t>DA CLASSIFICAÇÃO DOS SERVIÇOS E FORMA DE SELEÇÃO DO FORNECEDOR</w:t>
      </w:r>
      <w:r>
        <w:rPr>
          <w:rFonts w:cs="Calibri" w:ascii="Calibri" w:hAnsi="Calibri"/>
          <w:b/>
          <w:bCs/>
        </w:rPr>
        <w:t xml:space="preserve"> </w:t>
      </w:r>
    </w:p>
    <w:p>
      <w:pPr>
        <w:pStyle w:val="Normal"/>
        <w:ind w:left="794" w:hanging="0"/>
        <w:jc w:val="both"/>
        <w:rPr>
          <w:rFonts w:ascii="Calibri" w:hAnsi="Calibri" w:cs="Calibri"/>
          <w:b/>
          <w:b/>
          <w:bCs/>
        </w:rPr>
      </w:pPr>
      <w:r>
        <w:rPr>
          <w:rFonts w:cs="Calibri" w:ascii="Calibri" w:hAnsi="Calibri"/>
          <w:b/>
          <w:bCs/>
        </w:rPr>
      </w:r>
    </w:p>
    <w:p>
      <w:pPr>
        <w:pStyle w:val="Normal"/>
        <w:numPr>
          <w:ilvl w:val="1"/>
          <w:numId w:val="1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Comprovação de aptidão para a prestação dos serviços em características, quantidades e prazos compatíveis com o objeto desta dispensa, ou com o item pertinente, mediante a apresentação de atestado(s) fornecido(s) por pessoas jurídicas de direito público ou privado.</w:t>
      </w:r>
    </w:p>
    <w:p>
      <w:pPr>
        <w:pStyle w:val="Normal"/>
        <w:ind w:left="794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numPr>
          <w:ilvl w:val="2"/>
          <w:numId w:val="1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Os atestados deverão referir-se a serviços prestados no âmbito de sua atividade econômica principal ou secundária especificadas no contrato social vigente;</w:t>
      </w:r>
    </w:p>
    <w:p>
      <w:pPr>
        <w:pStyle w:val="Normal"/>
        <w:ind w:left="1587" w:hanging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numPr>
          <w:ilvl w:val="2"/>
          <w:numId w:val="1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O fornecedor disponibilizará todas as informações necessárias à comprovação da legitimidade dos atestados, apresentando, dentre outros documentos, cópia do contrato que deu suporte à contratação, endereço atual da contratante e local em que foram prestados os serviços.</w:t>
      </w:r>
    </w:p>
    <w:p>
      <w:pPr>
        <w:pStyle w:val="Normal"/>
        <w:numPr>
          <w:ilvl w:val="0"/>
          <w:numId w:val="0"/>
        </w:numPr>
        <w:ind w:left="1587" w:hanging="0"/>
        <w:jc w:val="both"/>
        <w:rPr>
          <w:rFonts w:ascii="Calibri" w:hAnsi="Calibri" w:cs="Calibri"/>
        </w:rPr>
      </w:pPr>
      <w:r>
        <w:rPr/>
      </w:r>
    </w:p>
    <w:p>
      <w:pPr>
        <w:pStyle w:val="Normal"/>
        <w:numPr>
          <w:ilvl w:val="0"/>
          <w:numId w:val="1"/>
        </w:numPr>
        <w:shd w:val="clear" w:fill="38AB81"/>
        <w:jc w:val="both"/>
        <w:rPr>
          <w:rFonts w:ascii="Calibri" w:hAnsi="Calibri" w:cs="Calibri"/>
        </w:rPr>
      </w:pPr>
      <w:r>
        <w:rPr>
          <w:rFonts w:cs="Calibri" w:ascii="Calibri" w:hAnsi="Calibri"/>
          <w:b/>
          <w:bCs/>
          <w:color w:val="FFFFFF"/>
        </w:rPr>
        <w:t>DISPOSIÇÕES GERAIS</w:t>
      </w:r>
      <w:r>
        <w:rPr>
          <w:rFonts w:cs="Calibri" w:ascii="Calibri" w:hAnsi="Calibri"/>
          <w:b/>
          <w:bCs/>
        </w:rPr>
        <w:t xml:space="preserve"> </w:t>
      </w:r>
    </w:p>
    <w:p>
      <w:pPr>
        <w:pStyle w:val="Normal"/>
        <w:ind w:left="794" w:hanging="0"/>
        <w:jc w:val="both"/>
        <w:rPr>
          <w:rFonts w:ascii="Calibri" w:hAnsi="Calibri" w:cs="Calibri"/>
          <w:b/>
          <w:b/>
          <w:bCs/>
        </w:rPr>
      </w:pPr>
      <w:r>
        <w:rPr>
          <w:rFonts w:cs="Calibri" w:ascii="Calibri" w:hAnsi="Calibri"/>
          <w:b/>
          <w:bCs/>
        </w:rPr>
      </w:r>
    </w:p>
    <w:p>
      <w:pPr>
        <w:pStyle w:val="Normal"/>
        <w:numPr>
          <w:ilvl w:val="1"/>
          <w:numId w:val="1"/>
        </w:numPr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No caso de contratações para entrega imediata, considerada aquela com prazo de entrega de até 30 (trinta) dias da ordem de fornecimento, e nas contratações com valores inferiores a 1/4 (um quarto) do limite para dispensa de licitação para compras em geral e nas contratações de produto para pesquisa e desenvolvimento de que trata a alínea "c" do inciso IV do art. 75 da Lei nº14.133, de 2021, somente será exigida das pessoas jurídicas a comprovação da regularidade fiscal federal, social e trabalhista e, das pessoas físicas, a quitação com a Fazenda Federal.</w:t>
      </w:r>
    </w:p>
    <w:sectPr>
      <w:headerReference w:type="default" r:id="rId3"/>
      <w:footerReference w:type="default" r:id="rId4"/>
      <w:type w:val="nextPage"/>
      <w:pgSz w:w="11906" w:h="16838"/>
      <w:pgMar w:left="850" w:right="850" w:header="709" w:top="2127" w:footer="283" w:bottom="1705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>
        <w:rFonts w:ascii="Calibri" w:hAnsi="Calibri" w:cs="Calibri"/>
        <w:sz w:val="16"/>
        <w:szCs w:val="16"/>
      </w:rPr>
    </w:pPr>
    <w:r>
      <w:rPr>
        <w:rFonts w:cs="Calibri" w:ascii="Calibri" w:hAnsi="Calibri"/>
        <w:sz w:val="16"/>
        <w:szCs w:val="16"/>
      </w:rPr>
      <w:t>Classificação da informação contida no documento ( X ) Público  (    ) Sigiloso  (    ) Restrito  |  Qual restrição?</w:t>
    </w:r>
  </w:p>
  <w:p>
    <w:pPr>
      <w:pStyle w:val="Rodap"/>
      <w:rPr>
        <w:rFonts w:ascii="Calibri" w:hAnsi="Calibri" w:cs="Calibri"/>
        <w:sz w:val="16"/>
        <w:szCs w:val="16"/>
      </w:rPr>
    </w:pPr>
    <w:r>
      <w:rPr>
        <w:rFonts w:cs="Calibri" w:ascii="Calibri" w:hAnsi="Calibri"/>
        <w:sz w:val="16"/>
        <w:szCs w:val="16"/>
      </w:rPr>
      <w:drawing>
        <wp:anchor behindDoc="0" distT="0" distB="0" distL="0" distR="0" simplePos="0" locked="0" layoutInCell="0" allowOverlap="1" relativeHeight="7">
          <wp:simplePos x="0" y="0"/>
          <wp:positionH relativeFrom="column">
            <wp:posOffset>3810</wp:posOffset>
          </wp:positionH>
          <wp:positionV relativeFrom="paragraph">
            <wp:posOffset>1270</wp:posOffset>
          </wp:positionV>
          <wp:extent cx="6475730" cy="499745"/>
          <wp:effectExtent l="0" t="0" r="0" b="0"/>
          <wp:wrapSquare wrapText="largest"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1" t="-277" r="-21" b="-277"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499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Rodap"/>
      <w:rPr>
        <w:rFonts w:ascii="Calibri" w:hAnsi="Calibri" w:cs="Calibri"/>
        <w:sz w:val="16"/>
        <w:szCs w:val="16"/>
      </w:rPr>
    </w:pPr>
    <w:r>
      <w:rPr>
        <w:rFonts w:cs="Calibri" w:ascii="Calibri" w:hAnsi="Calibri"/>
        <w:sz w:val="16"/>
        <w:szCs w:val="16"/>
      </w:rPr>
    </w:r>
  </w:p>
  <w:p>
    <w:pPr>
      <w:pStyle w:val="Rodap"/>
      <w:rPr>
        <w:rFonts w:ascii="Calibri" w:hAnsi="Calibri" w:cs="Calibri"/>
        <w:sz w:val="16"/>
        <w:szCs w:val="16"/>
      </w:rPr>
    </w:pPr>
    <w:r>
      <w:rPr>
        <w:rFonts w:cs="Calibri" w:ascii="Calibri" w:hAnsi="Calibri"/>
        <w:sz w:val="16"/>
        <w:szCs w:val="16"/>
      </w:rPr>
    </w:r>
  </w:p>
  <w:p>
    <w:pPr>
      <w:pStyle w:val="Rodap"/>
      <w:rPr>
        <w:rFonts w:ascii="Calibri" w:hAnsi="Calibri" w:cs="Calibri"/>
        <w:sz w:val="16"/>
        <w:szCs w:val="16"/>
      </w:rPr>
    </w:pPr>
    <w:r>
      <w:rPr>
        <w:rFonts w:cs="Calibri" w:ascii="Calibri" w:hAnsi="Calibri"/>
        <w:sz w:val="16"/>
        <w:szCs w:val="16"/>
      </w:rPr>
    </w:r>
  </w:p>
  <w:p>
    <w:pPr>
      <w:pStyle w:val="Rodap"/>
      <w:rPr>
        <w:rFonts w:ascii="Calibri" w:hAnsi="Calibri" w:cs="Calibri"/>
        <w:sz w:val="16"/>
        <w:szCs w:val="16"/>
      </w:rPr>
    </w:pPr>
    <w:r>
      <w:rPr>
        <w:rFonts w:cs="Calibri" w:ascii="Calibri" w:hAnsi="Calibri"/>
        <w:sz w:val="16"/>
        <w:szCs w:val="16"/>
      </w:rPr>
    </w:r>
  </w:p>
  <w:p>
    <w:pPr>
      <w:pStyle w:val="Rodap"/>
      <w:jc w:val="center"/>
      <w:rPr>
        <w:rFonts w:ascii="Calibri" w:hAnsi="Calibri" w:cs="Calibri"/>
        <w:sz w:val="16"/>
        <w:szCs w:val="16"/>
      </w:rPr>
    </w:pPr>
    <w:r>
      <w:rPr>
        <w:rFonts w:cs="Calibri" w:ascii="Calibri" w:hAnsi="Calibri"/>
        <w:sz w:val="16"/>
        <w:szCs w:val="16"/>
      </w:rPr>
      <w:fldChar w:fldCharType="begin"/>
    </w:r>
    <w:r>
      <w:rPr>
        <w:sz w:val="16"/>
        <w:szCs w:val="16"/>
        <w:rFonts w:cs="Calibri" w:ascii="Calibri" w:hAnsi="Calibri"/>
      </w:rPr>
      <w:instrText> PAGE </w:instrText>
    </w:r>
    <w:r>
      <w:rPr>
        <w:sz w:val="16"/>
        <w:szCs w:val="16"/>
        <w:rFonts w:cs="Calibri" w:ascii="Calibri" w:hAnsi="Calibri"/>
      </w:rPr>
      <w:fldChar w:fldCharType="separate"/>
    </w:r>
    <w:r>
      <w:rPr>
        <w:sz w:val="16"/>
        <w:szCs w:val="16"/>
        <w:rFonts w:cs="Calibri" w:ascii="Calibri" w:hAnsi="Calibri"/>
      </w:rPr>
      <w:t>1</w:t>
    </w:r>
    <w:r>
      <w:rPr>
        <w:sz w:val="16"/>
        <w:szCs w:val="16"/>
        <w:rFonts w:cs="Calibri" w:ascii="Calibri" w:hAnsi="Calibri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rPr/>
    </w:pPr>
    <w:r>
      <w:rPr/>
      <w:drawing>
        <wp:anchor behindDoc="0" distT="0" distB="0" distL="0" distR="0" simplePos="0" locked="0" layoutInCell="0" allowOverlap="1" relativeHeight="4">
          <wp:simplePos x="0" y="0"/>
          <wp:positionH relativeFrom="column">
            <wp:posOffset>2540</wp:posOffset>
          </wp:positionH>
          <wp:positionV relativeFrom="paragraph">
            <wp:posOffset>29845</wp:posOffset>
          </wp:positionV>
          <wp:extent cx="6475730" cy="805815"/>
          <wp:effectExtent l="0" t="0" r="0" b="0"/>
          <wp:wrapSquare wrapText="largest"/>
          <wp:docPr id="1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1" t="-154" r="-21" b="-154"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805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94"/>
        </w:tabs>
        <w:ind w:left="794" w:hanging="794"/>
      </w:pPr>
      <w:rPr>
        <w:b/>
        <w:bCs/>
        <w:rFonts w:cs="Calibri"/>
        <w:color w:val="FFFFFF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794"/>
      </w:pPr>
      <w:rPr>
        <w:b w:val="false"/>
        <w:bCs w:val="false"/>
        <w:rFonts w:ascii="Calibri" w:hAnsi="Calibri" w:cs="Calibri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587"/>
        </w:tabs>
        <w:ind w:left="1587" w:hanging="793"/>
      </w:pPr>
      <w:rPr>
        <w:b w:val="false"/>
        <w:bCs w:val="false"/>
        <w:rFonts w:ascii="Calibri" w:hAnsi="Calibri" w:cs="Calibri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381"/>
        </w:tabs>
        <w:ind w:left="2381" w:hanging="794"/>
      </w:pPr>
      <w:rPr>
        <w:b w:val="false"/>
        <w:bCs w:val="false"/>
        <w:rFonts w:ascii="Calibri" w:hAnsi="Calibri" w:cs="Calibri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175"/>
        </w:tabs>
        <w:ind w:left="3175" w:hanging="794"/>
      </w:pPr>
      <w:rPr>
        <w:b w:val="false"/>
        <w:bCs w:val="false"/>
        <w:rFonts w:ascii="Calibri" w:hAnsi="Calibri" w:cs="Calibri"/>
        <w:color w:val="00000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false"/>
        <w:bCs w:val="false"/>
        <w:rFonts w:ascii="Calibri" w:hAnsi="Calibri" w:cs="Calibri"/>
        <w:color w:val="00000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false"/>
        <w:bCs w:val="false"/>
        <w:rFonts w:ascii="Calibri" w:hAnsi="Calibri" w:cs="Calibri"/>
        <w:color w:val="00000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false"/>
        <w:bCs w:val="false"/>
        <w:rFonts w:ascii="Calibri" w:hAnsi="Calibri" w:cs="Calibri"/>
        <w:color w:val="00000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false"/>
        <w:bCs w:val="false"/>
        <w:rFonts w:ascii="Calibri" w:hAnsi="Calibri" w:cs="Calibri"/>
        <w:color w:val="00000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 Unicode MS"/>
      <w:color w:val="auto"/>
      <w:kern w:val="2"/>
      <w:sz w:val="24"/>
      <w:szCs w:val="24"/>
      <w:lang w:val="pt-BR" w:eastAsia="zh-CN" w:bidi="hi-IN"/>
    </w:rPr>
  </w:style>
  <w:style w:type="character" w:styleId="WW8Num1z0">
    <w:name w:val="WW8Num1z0"/>
    <w:qFormat/>
    <w:rPr>
      <w:rFonts w:cs="Calibri"/>
      <w:b/>
      <w:bCs/>
      <w:color w:val="FFFFFF"/>
    </w:rPr>
  </w:style>
  <w:style w:type="character" w:styleId="WW8Num1z1">
    <w:name w:val="WW8Num1z1"/>
    <w:qFormat/>
    <w:rPr>
      <w:rFonts w:ascii="Calibri" w:hAnsi="Calibri" w:cs="Calibri"/>
      <w:b w:val="false"/>
      <w:bCs w:val="false"/>
      <w:color w:val="000000"/>
    </w:rPr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Fontepargpadro">
    <w:name w:val="Fonte parág. padrão"/>
    <w:qFormat/>
    <w:rPr/>
  </w:style>
  <w:style w:type="character" w:styleId="Smbolosdenumerao">
    <w:name w:val="Símbolos de numeração"/>
    <w:qFormat/>
    <w:rPr>
      <w:b w:val="false"/>
      <w:bCs w:val="false"/>
      <w:color w:val="000000"/>
    </w:rPr>
  </w:style>
  <w:style w:type="character" w:styleId="LinkdaInternet">
    <w:name w:val="Link da Internet"/>
    <w:rPr>
      <w:color w:val="000080"/>
      <w:u w:val="single"/>
      <w:lang w:val="zxx" w:bidi="zxx"/>
    </w:rPr>
  </w:style>
  <w:style w:type="character" w:styleId="Linkdainternetvisitado">
    <w:name w:val="Link da internet visitado"/>
    <w:rPr>
      <w:color w:val="80000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 Unicode MS"/>
    </w:rPr>
  </w:style>
  <w:style w:type="paragraph" w:styleId="Ttulo1">
    <w:name w:val="Título1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5103" w:leader="none"/>
        <w:tab w:val="right" w:pos="10206" w:leader="none"/>
      </w:tabs>
    </w:pPr>
    <w:rPr/>
  </w:style>
  <w:style w:type="paragraph" w:styleId="Cabealho">
    <w:name w:val="Header"/>
    <w:basedOn w:val="CabealhoeRodap"/>
    <w:pPr>
      <w:suppressLineNumbers/>
    </w:pPr>
    <w:rPr/>
  </w:style>
  <w:style w:type="paragraph" w:styleId="Rodap">
    <w:name w:val="Footer"/>
    <w:basedOn w:val="CabealhoeRodap"/>
    <w:pPr>
      <w:suppressLineNumbers/>
    </w:pPr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ortaldoempreendedor.gov.br/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4</TotalTime>
  <Application>LibreOffice/7.1.8.1$Windows_X86_64 LibreOffice_project/e1f30c802c3269a1d052614453f260e49458c82c</Application>
  <AppVersion>15.0000</AppVersion>
  <Pages>3</Pages>
  <Words>858</Words>
  <Characters>4927</Characters>
  <CharactersWithSpaces>5732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2022-01-12T09:24:00Z</dcterms:created>
  <dc:creator/>
  <dc:description/>
  <cp:keywords>  </cp:keywords>
  <dc:language>pt-BR</dc:language>
  <cp:lastModifiedBy/>
  <dcterms:modified xsi:type="dcterms:W3CDTF">2022-06-08T08:40:23Z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