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comments.xml" ContentType="application/vnd.openxmlformats-officedocument.wordprocessingml.comment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38AB81"/>
        <w:overflowPunct w:val="false"/>
        <w:jc w:val="center"/>
        <w:rPr/>
      </w:pPr>
      <w:r>
        <w:rPr>
          <w:rFonts w:cs="Calibri" w:ascii="Calibri" w:hAnsi="Calibri"/>
          <w:b/>
          <w:i w:val="false"/>
          <w:iCs w:val="false"/>
          <w:color w:val="FFFFFF"/>
        </w:rPr>
        <w:t>ESTUDO TÉCNICO PRELIMINAR – ETP</w:t>
      </w:r>
    </w:p>
    <w:p>
      <w:pPr>
        <w:pStyle w:val="Normal"/>
        <w:jc w:val="center"/>
        <w:rPr>
          <w:rFonts w:ascii="Calibri" w:hAnsi="Calibri" w:cs="Calibri"/>
          <w:b/>
          <w:b/>
        </w:rPr>
      </w:pPr>
      <w:r>
        <w:rPr>
          <w:rFonts w:cs="Calibri" w:ascii="Calibri" w:hAnsi="Calibri"/>
          <w:b/>
        </w:rPr>
      </w:r>
    </w:p>
    <w:p>
      <w:pPr>
        <w:pStyle w:val="Normal"/>
        <w:numPr>
          <w:ilvl w:val="0"/>
          <w:numId w:val="1"/>
        </w:numPr>
        <w:shd w:val="clear" w:fill="38AB81"/>
        <w:jc w:val="both"/>
        <w:rPr>
          <w:rFonts w:ascii="Calibri" w:hAnsi="Calibri"/>
        </w:rPr>
      </w:pPr>
      <w:r>
        <w:rPr>
          <w:rFonts w:cs="Calibri" w:ascii="Calibri" w:hAnsi="Calibri"/>
          <w:b/>
          <w:bCs/>
          <w:color w:val="FFFFFF"/>
          <w:sz w:val="24"/>
          <w:szCs w:val="24"/>
        </w:rPr>
        <w:t>Dados do Processo:</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tbl>
      <w:tblPr>
        <w:tblW w:w="9757" w:type="dxa"/>
        <w:jc w:val="center"/>
        <w:tblInd w:w="0" w:type="dxa"/>
        <w:tblLayout w:type="fixed"/>
        <w:tblCellMar>
          <w:top w:w="55" w:type="dxa"/>
          <w:left w:w="4" w:type="dxa"/>
          <w:bottom w:w="55" w:type="dxa"/>
          <w:right w:w="55" w:type="dxa"/>
        </w:tblCellMar>
        <w:tblLook w:firstRow="0" w:noVBand="0" w:lastRow="0" w:firstColumn="0" w:lastColumn="0" w:noHBand="0" w:val="0000"/>
      </w:tblPr>
      <w:tblGrid>
        <w:gridCol w:w="2552"/>
        <w:gridCol w:w="3912"/>
        <w:gridCol w:w="614"/>
        <w:gridCol w:w="2678"/>
      </w:tblGrid>
      <w:tr>
        <w:trPr>
          <w:trHeight w:val="327" w:hRule="atLeast"/>
        </w:trPr>
        <w:tc>
          <w:tcPr>
            <w:tcW w:w="2552" w:type="dxa"/>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Contedodatabela"/>
              <w:widowControl w:val="false"/>
              <w:jc w:val="both"/>
              <w:rPr>
                <w:rFonts w:ascii="Calibri" w:hAnsi="Calibri" w:eastAsia="SimSun;宋体" w:cs="Calibri"/>
                <w:b/>
                <w:b/>
                <w:bCs/>
                <w:color w:val="00000A"/>
              </w:rPr>
            </w:pPr>
            <w:r>
              <w:rPr>
                <w:rFonts w:eastAsia="SimSun;宋体" w:cs="Calibri" w:ascii="Calibri" w:hAnsi="Calibri"/>
                <w:b/>
                <w:bCs/>
                <w:color w:val="00000A"/>
              </w:rPr>
              <w:t>Processo Administrativo:</w:t>
            </w:r>
          </w:p>
        </w:tc>
        <w:tc>
          <w:tcPr>
            <w:tcW w:w="7204" w:type="dxa"/>
            <w:gridSpan w:val="3"/>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Standard"/>
              <w:widowControl w:val="false"/>
              <w:snapToGrid w:val="false"/>
              <w:rPr>
                <w:color w:val="C9211E"/>
              </w:rPr>
            </w:pPr>
            <w:commentRangeStart w:id="0"/>
            <w:r>
              <w:rPr>
                <w:rFonts w:eastAsia="SimSun;宋体" w:cs="Calibri" w:ascii="Calibri" w:hAnsi="Calibri"/>
                <w:color w:val="C9211E"/>
                <w:shd w:fill="auto" w:val="clear"/>
              </w:rPr>
              <w:t>xx/20xx</w:t>
            </w:r>
            <w:commentRangeEnd w:id="0"/>
            <w:r>
              <w:commentReference w:id="0"/>
            </w:r>
            <w:r>
              <w:rPr>
                <w:rFonts w:eastAsia="SimSun;宋体" w:cs="Calibri" w:ascii="Calibri" w:hAnsi="Calibri"/>
                <w:color w:val="C9211E"/>
                <w:shd w:fill="auto" w:val="clear"/>
              </w:rPr>
            </w:r>
          </w:p>
        </w:tc>
      </w:tr>
      <w:tr>
        <w:trPr>
          <w:trHeight w:val="327" w:hRule="atLeast"/>
        </w:trPr>
        <w:tc>
          <w:tcPr>
            <w:tcW w:w="2552" w:type="dxa"/>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Contedodatabela"/>
              <w:widowControl w:val="false"/>
              <w:jc w:val="both"/>
              <w:rPr>
                <w:rFonts w:ascii="Calibri" w:hAnsi="Calibri" w:cs="Calibri"/>
                <w:b/>
                <w:b/>
                <w:bCs/>
              </w:rPr>
            </w:pPr>
            <w:r>
              <w:rPr>
                <w:rFonts w:cs="Calibri" w:ascii="Calibri" w:hAnsi="Calibri"/>
                <w:b/>
                <w:bCs/>
              </w:rPr>
              <w:t>Objeto:</w:t>
            </w:r>
          </w:p>
        </w:tc>
        <w:tc>
          <w:tcPr>
            <w:tcW w:w="7204" w:type="dxa"/>
            <w:gridSpan w:val="3"/>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Standard"/>
              <w:widowControl w:val="false"/>
              <w:snapToGrid w:val="false"/>
              <w:jc w:val="both"/>
              <w:rPr>
                <w:rFonts w:ascii="Calibri" w:hAnsi="Calibri" w:eastAsia="SimSun;宋体" w:cs="Calibri"/>
                <w:color w:val="C9211E"/>
              </w:rPr>
            </w:pPr>
            <w:commentRangeStart w:id="1"/>
            <w:r>
              <w:rPr>
                <w:rFonts w:eastAsia="SimSun;宋体" w:cs="Calibri" w:ascii="Calibri" w:hAnsi="Calibri"/>
                <w:color w:val="C9211E"/>
              </w:rPr>
              <w:t>Contratação do Serviço de (manutenção de computadores, manutenção de CFTV, limpeza de dutos)</w:t>
            </w:r>
            <w:commentRangeEnd w:id="1"/>
            <w:r>
              <w:commentReference w:id="1"/>
            </w:r>
            <w:r>
              <w:rPr>
                <w:rFonts w:eastAsia="SimSun;宋体" w:cs="Calibri" w:ascii="Calibri" w:hAnsi="Calibri"/>
                <w:color w:val="C9211E"/>
              </w:rPr>
            </w:r>
          </w:p>
        </w:tc>
      </w:tr>
      <w:tr>
        <w:trPr>
          <w:trHeight w:val="400" w:hRule="atLeast"/>
        </w:trPr>
        <w:tc>
          <w:tcPr>
            <w:tcW w:w="2552" w:type="dxa"/>
            <w:vMerge w:val="restart"/>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Contedodatabela"/>
              <w:widowControl w:val="false"/>
              <w:jc w:val="both"/>
              <w:rPr/>
            </w:pPr>
            <w:r>
              <w:rPr>
                <w:rFonts w:cs="Calibri" w:ascii="Calibri" w:hAnsi="Calibri"/>
                <w:b/>
                <w:bCs/>
              </w:rPr>
              <w:t xml:space="preserve">Equipe de Planejamento designada pela Portaria nº </w:t>
            </w:r>
            <w:r>
              <w:rPr>
                <w:rFonts w:eastAsia="SimSun;宋体" w:cs="Calibri" w:ascii="Calibri" w:hAnsi="Calibri"/>
                <w:b/>
                <w:bCs/>
                <w:color w:val="C9211E"/>
              </w:rPr>
              <w:t>xxx</w:t>
            </w:r>
            <w:r>
              <w:rPr>
                <w:rFonts w:cs="Calibri" w:ascii="Calibri" w:hAnsi="Calibri"/>
                <w:b/>
                <w:bCs/>
                <w:color w:val="C9211E"/>
              </w:rPr>
              <w:t>/20xx</w:t>
            </w:r>
            <w:commentRangeStart w:id="2"/>
            <w:r>
              <w:rPr>
                <w:rFonts w:cs="Calibri" w:ascii="Calibri" w:hAnsi="Calibri"/>
                <w:b/>
                <w:bCs/>
                <w:color w:val="C9211E"/>
              </w:rPr>
              <w:t>:</w:t>
            </w:r>
            <w:commentRangeEnd w:id="2"/>
            <w:r>
              <w:commentReference w:id="2"/>
            </w:r>
            <w:r>
              <w:rPr>
                <w:rFonts w:cs="Calibri" w:ascii="Calibri" w:hAnsi="Calibri"/>
                <w:b/>
                <w:bCs/>
                <w:color w:val="C9211E"/>
              </w:rPr>
            </w:r>
          </w:p>
        </w:tc>
        <w:tc>
          <w:tcPr>
            <w:tcW w:w="3912"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rPr>
            </w:pPr>
            <w:r>
              <w:rPr>
                <w:rFonts w:eastAsia="SimSun;宋体" w:cs="Calibri" w:ascii="Calibri" w:hAnsi="Calibri"/>
                <w:b/>
              </w:rPr>
              <w:t>Presidente da Equipe</w:t>
            </w:r>
          </w:p>
        </w:tc>
      </w:tr>
      <w:tr>
        <w:trPr>
          <w:trHeight w:val="400" w:hRule="atLeast"/>
        </w:trPr>
        <w:tc>
          <w:tcPr>
            <w:tcW w:w="2552"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pPr>
            <w:r>
              <w:rPr/>
            </w:r>
          </w:p>
        </w:tc>
        <w:tc>
          <w:tcPr>
            <w:tcW w:w="3912"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Requisitante</w:t>
            </w:r>
          </w:p>
        </w:tc>
      </w:tr>
      <w:tr>
        <w:trPr>
          <w:trHeight w:val="400" w:hRule="atLeast"/>
        </w:trPr>
        <w:tc>
          <w:tcPr>
            <w:tcW w:w="2552"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pPr>
            <w:r>
              <w:rPr/>
            </w:r>
          </w:p>
        </w:tc>
        <w:tc>
          <w:tcPr>
            <w:tcW w:w="3912"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Administrativo</w:t>
            </w:r>
          </w:p>
        </w:tc>
      </w:tr>
      <w:tr>
        <w:trPr>
          <w:trHeight w:val="400" w:hRule="atLeast"/>
        </w:trPr>
        <w:tc>
          <w:tcPr>
            <w:tcW w:w="2552"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pPr>
            <w:r>
              <w:rPr/>
            </w:r>
          </w:p>
        </w:tc>
        <w:tc>
          <w:tcPr>
            <w:tcW w:w="3912"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Administrativo</w:t>
            </w:r>
            <w:r>
              <w:rPr/>
              <w:commentReference w:id="3"/>
            </w:r>
          </w:p>
        </w:tc>
      </w:tr>
    </w:tbl>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0"/>
          <w:numId w:val="1"/>
        </w:numPr>
        <w:shd w:val="clear" w:fill="38AB81"/>
        <w:jc w:val="both"/>
        <w:rPr>
          <w:rFonts w:ascii="Calibri" w:hAnsi="Calibri"/>
        </w:rPr>
      </w:pPr>
      <w:r>
        <w:rPr>
          <w:rFonts w:cs="Calibri" w:ascii="Calibri" w:hAnsi="Calibri"/>
          <w:b/>
          <w:bCs/>
          <w:color w:val="FFFFFF"/>
          <w:sz w:val="24"/>
          <w:szCs w:val="24"/>
        </w:rPr>
        <w:t>Normativos que disciplinam a presente demanda:</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1"/>
          <w:numId w:val="1"/>
        </w:numPr>
        <w:ind w:left="0" w:hanging="0"/>
        <w:jc w:val="both"/>
        <w:rPr>
          <w:rFonts w:ascii="Calibri" w:hAnsi="Calibri"/>
        </w:rPr>
      </w:pPr>
      <w:r>
        <w:rPr>
          <w:rFonts w:cs="Calibri" w:ascii="Calibri" w:hAnsi="Calibri"/>
          <w:color w:val="00000A"/>
        </w:rPr>
        <w:t>A presente aquisição tem como fundamento legal as seguintes legislações:</w:t>
      </w:r>
    </w:p>
    <w:p>
      <w:pPr>
        <w:pStyle w:val="Normal"/>
        <w:jc w:val="both"/>
        <w:rPr>
          <w:rFonts w:ascii="Calibri" w:hAnsi="Calibri"/>
        </w:rPr>
      </w:pPr>
      <w:r>
        <w:rPr>
          <w:rFonts w:ascii="Calibri" w:hAnsi="Calibri"/>
        </w:rPr>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Constituição da República Federativa do Brasil de 1988.</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Lei 14.133 de 1º de abril de 2021 – Lei de Licitações e Contratos Administrativos.</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65, de 7 de julho de 2021 – Dispõe sobre o procedimento administrativo para a realização de pesquisa de preços para aquisição de bens e contratação de serviços em geral,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67, de 8 de julho de 2021 – Dispõe sobre a dispensa de licitação, na forma eletrônica, de que trata a Lei nº 14.133, de 1º de abril de 2021, e institui o Sistema de Dispensa Eletrônica,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58, de 8 de agosto de 2022 – Dispõe sobre a elaboração dos Estudos Técnicos Preliminares – ETP, para a aquisição de bens e a contratação de serviços e obras, no âmbito da administração pública federal direta, autárquica e fundacional, e sobre o Sistema ETP digital.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8, de 23 de março de 2023 – Altera a Instrução Normativa SEGES/ME nº 67, de 8 de julho de 2021, que dispõe sobre a dispensa de licitação, na forma eletrônica, de que trata a Lei nº 14.133, de 1º de abril de 2021, e institui o Sistema de Dispensa Eletrônica,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ascii="Calibri" w:hAnsi="Calibri"/>
          <w:color w:val="auto"/>
        </w:rPr>
        <w:t>Demais Legislações correlatas à contratação que se pretende.</w:t>
      </w:r>
    </w:p>
    <w:p>
      <w:pPr>
        <w:pStyle w:val="Normal"/>
        <w:numPr>
          <w:ilvl w:val="0"/>
          <w:numId w:val="0"/>
        </w:numPr>
        <w:ind w:left="754" w:right="0" w:hanging="0"/>
        <w:jc w:val="both"/>
        <w:rPr>
          <w:rFonts w:ascii="Calibri" w:hAnsi="Calibri"/>
        </w:rPr>
      </w:pPr>
      <w:r>
        <w:rPr>
          <w:rFonts w:ascii="Calibri" w:hAnsi="Calibri"/>
        </w:rPr>
      </w:r>
    </w:p>
    <w:p>
      <w:pPr>
        <w:pStyle w:val="Normal"/>
        <w:numPr>
          <w:ilvl w:val="0"/>
          <w:numId w:val="1"/>
        </w:numPr>
        <w:shd w:val="clear" w:fill="38AB81"/>
        <w:jc w:val="both"/>
        <w:rPr>
          <w:rFonts w:ascii="Calibri" w:hAnsi="Calibri"/>
        </w:rPr>
      </w:pPr>
      <w:r>
        <w:rPr>
          <w:rFonts w:cs="Calibri" w:ascii="Calibri" w:hAnsi="Calibri"/>
          <w:b/>
          <w:bCs/>
          <w:color w:val="FFFFFF"/>
          <w:sz w:val="24"/>
          <w:szCs w:val="24"/>
        </w:rPr>
        <w:t>Descrição da Necessidade: (IN 58/2022 SEGES, art. 9º, inciso I)</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1"/>
          <w:numId w:val="1"/>
        </w:numPr>
        <w:ind w:left="0" w:hanging="0"/>
        <w:jc w:val="both"/>
        <w:rPr>
          <w:rFonts w:ascii="Calibri" w:hAnsi="Calibri"/>
          <w:highlight w:val="none"/>
          <w:shd w:fill="FFFF00" w:val="clear"/>
        </w:rPr>
      </w:pPr>
      <w:commentRangeStart w:id="4"/>
      <w:r>
        <w:rPr>
          <w:rFonts w:cs="Calibri" w:ascii="Calibri" w:hAnsi="Calibri"/>
          <w:color w:val="000000"/>
          <w:shd w:fill="FFFF00" w:val="clear"/>
        </w:rPr>
        <w:t>O Conselho Regional de Medicina do Estado do Rio de Janeiro (Cremerj) é uma autarquia federal, criada pela Lei nº 3.268/1957, com o objetivo de promover o perfeito desempenho ético e moral da medicina e o prestígio dos que a exerçam legalmente.</w:t>
      </w:r>
    </w:p>
    <w:p>
      <w:pPr>
        <w:pStyle w:val="Normal"/>
        <w:ind w:left="0"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color w:val="00000A"/>
          <w:shd w:fill="FFFF00" w:val="clear"/>
        </w:rPr>
        <w:t>No artigo 15 da citada Lei, são descritas as suas atribuições, onde podemos citar:</w:t>
      </w:r>
    </w:p>
    <w:p>
      <w:pPr>
        <w:pStyle w:val="Normal"/>
        <w:numPr>
          <w:ilvl w:val="0"/>
          <w:numId w:val="0"/>
        </w:numPr>
        <w:ind w:left="0" w:hanging="0"/>
        <w:jc w:val="both"/>
        <w:rPr>
          <w:rFonts w:ascii="Calibri" w:hAnsi="Calibri"/>
          <w:highlight w:val="none"/>
          <w:shd w:fill="FFFF00" w:val="clear"/>
        </w:rPr>
      </w:pPr>
      <w:r>
        <w:rPr>
          <w:rFonts w:ascii="Calibri" w:hAnsi="Calibri"/>
          <w:shd w:fill="FFFF00" w:val="clear"/>
        </w:rPr>
      </w:r>
    </w:p>
    <w:p>
      <w:pPr>
        <w:pStyle w:val="Normal"/>
        <w:numPr>
          <w:ilvl w:val="0"/>
          <w:numId w:val="0"/>
        </w:numPr>
        <w:ind w:left="2268" w:right="0" w:hanging="0"/>
        <w:jc w:val="both"/>
        <w:rPr>
          <w:rFonts w:ascii="Calibri" w:hAnsi="Calibri"/>
        </w:rPr>
      </w:pPr>
      <w:r>
        <w:rPr>
          <w:rFonts w:cs="Calibri" w:ascii="Calibri" w:hAnsi="Calibri"/>
          <w:color w:val="00000A"/>
          <w:sz w:val="22"/>
          <w:szCs w:val="22"/>
          <w:shd w:fill="FFFF00" w:val="clear"/>
        </w:rPr>
        <w:t>“</w:t>
      </w:r>
      <w:r>
        <w:rPr>
          <w:rFonts w:cs="Calibri" w:ascii="Calibri" w:hAnsi="Calibri"/>
          <w:color w:val="00000A"/>
          <w:sz w:val="22"/>
          <w:szCs w:val="22"/>
          <w:shd w:fill="FFFF00" w:val="clear"/>
        </w:rPr>
        <w:t>Art. 15. São atribuições dos Conselhos Regionais:</w:t>
      </w:r>
    </w:p>
    <w:p>
      <w:pPr>
        <w:pStyle w:val="Normal"/>
        <w:numPr>
          <w:ilvl w:val="0"/>
          <w:numId w:val="0"/>
        </w:numPr>
        <w:ind w:left="2268" w:right="0" w:hanging="0"/>
        <w:jc w:val="both"/>
        <w:rPr>
          <w:rFonts w:ascii="Calibri" w:hAnsi="Calibri"/>
        </w:rPr>
      </w:pPr>
      <w:r>
        <w:rPr>
          <w:rFonts w:cs="Calibri" w:ascii="Calibri" w:hAnsi="Calibri"/>
          <w:color w:val="00000A"/>
          <w:sz w:val="22"/>
          <w:szCs w:val="22"/>
          <w:shd w:fill="FFFF00" w:val="clear"/>
        </w:rPr>
        <w:t>(…)</w:t>
      </w:r>
    </w:p>
    <w:p>
      <w:pPr>
        <w:pStyle w:val="Normal"/>
        <w:numPr>
          <w:ilvl w:val="0"/>
          <w:numId w:val="0"/>
        </w:numPr>
        <w:ind w:left="2268" w:right="0" w:hanging="0"/>
        <w:jc w:val="both"/>
        <w:rPr>
          <w:rFonts w:ascii="Calibri" w:hAnsi="Calibri"/>
        </w:rPr>
      </w:pPr>
      <w:r>
        <w:rPr>
          <w:rFonts w:cs="Calibri" w:ascii="Calibri" w:hAnsi="Calibri"/>
          <w:color w:val="00000A"/>
          <w:sz w:val="22"/>
          <w:szCs w:val="22"/>
          <w:shd w:fill="FFFF00" w:val="clear"/>
        </w:rPr>
        <w:t xml:space="preserve">h) </w:t>
      </w:r>
      <w:r>
        <w:rPr>
          <w:rFonts w:cs="Calibri" w:ascii="Calibri" w:hAnsi="Calibri"/>
          <w:b/>
          <w:bCs/>
          <w:color w:val="00000A"/>
          <w:sz w:val="22"/>
          <w:szCs w:val="22"/>
          <w:shd w:fill="FFFF00" w:val="clear"/>
        </w:rPr>
        <w:t>promover, por todos os meios e o seu alcance, o perfeito desempenho técnico e moral da medicina e o prestígio e bom conceito da medicina, da profissão e dos que a exerçam;</w:t>
      </w:r>
    </w:p>
    <w:p>
      <w:pPr>
        <w:pStyle w:val="Normal"/>
        <w:numPr>
          <w:ilvl w:val="0"/>
          <w:numId w:val="0"/>
        </w:numPr>
        <w:ind w:left="2268" w:right="0" w:hanging="0"/>
        <w:jc w:val="both"/>
        <w:rPr>
          <w:rFonts w:ascii="Calibri" w:hAnsi="Calibri"/>
        </w:rPr>
      </w:pPr>
      <w:r>
        <w:rPr>
          <w:rFonts w:cs="Calibri" w:ascii="Calibri" w:hAnsi="Calibri"/>
          <w:color w:val="00000A"/>
          <w:sz w:val="22"/>
          <w:szCs w:val="22"/>
          <w:shd w:fill="FFFF00" w:val="clear"/>
        </w:rPr>
        <w:t>(…)” (grifo nosso)</w:t>
      </w:r>
    </w:p>
    <w:p>
      <w:pPr>
        <w:pStyle w:val="Normal"/>
        <w:numPr>
          <w:ilvl w:val="0"/>
          <w:numId w:val="0"/>
        </w:numPr>
        <w:ind w:left="2268" w:right="0" w:hanging="0"/>
        <w:jc w:val="both"/>
        <w:rPr>
          <w:rFonts w:ascii="Calibri" w:hAnsi="Calibri"/>
          <w:color w:val="C9211E"/>
        </w:rPr>
      </w:pPr>
      <w:r>
        <w:rPr>
          <w:rFonts w:ascii="Calibri" w:hAnsi="Calibri"/>
          <w:color w:val="C9211E"/>
        </w:rPr>
      </w:r>
    </w:p>
    <w:p>
      <w:pPr>
        <w:pStyle w:val="Normal"/>
        <w:widowControl w:val="false"/>
        <w:numPr>
          <w:ilvl w:val="1"/>
          <w:numId w:val="1"/>
        </w:numPr>
        <w:ind w:left="0" w:hanging="0"/>
        <w:jc w:val="both"/>
        <w:rPr>
          <w:rFonts w:ascii="Calibri" w:hAnsi="Calibri"/>
          <w:highlight w:val="none"/>
          <w:shd w:fill="FFFF00" w:val="clear"/>
        </w:rPr>
      </w:pPr>
      <w:r>
        <w:rPr>
          <w:rFonts w:ascii="Calibri" w:hAnsi="Calibri"/>
          <w:color w:val="000000"/>
          <w:shd w:fill="FFFF00" w:val="clear"/>
        </w:rPr>
        <w:t>O Cremerj também é uma instituição auxiliar do Estado que, por delegação deste, lhe outorga competência para supervisionar a ética profissional e normatizar o exercício da profissão.</w:t>
      </w:r>
    </w:p>
    <w:p>
      <w:pPr>
        <w:pStyle w:val="Normal"/>
        <w:widowControl w:val="false"/>
        <w:jc w:val="both"/>
        <w:rPr>
          <w:rFonts w:ascii="Calibri" w:hAnsi="Calibri"/>
        </w:rPr>
      </w:pPr>
      <w:r>
        <w:rPr>
          <w:rFonts w:ascii="Calibri" w:hAnsi="Calibri"/>
        </w:rPr>
      </w:r>
    </w:p>
    <w:p>
      <w:pPr>
        <w:pStyle w:val="Normal"/>
        <w:widowControl w:val="false"/>
        <w:numPr>
          <w:ilvl w:val="1"/>
          <w:numId w:val="1"/>
        </w:numPr>
        <w:ind w:left="0" w:hanging="0"/>
        <w:jc w:val="both"/>
        <w:rPr>
          <w:rFonts w:ascii="Calibri" w:hAnsi="Calibri"/>
        </w:rPr>
      </w:pPr>
      <w:r>
        <w:rPr>
          <w:rFonts w:ascii="Calibri" w:hAnsi="Calibri"/>
          <w:color w:val="000000"/>
        </w:rPr>
        <w:t>O CREMERJ mantém em plena atividade, além da sede, 54 Câmaras Técnicas, 18 Grupos de Trabalho e 7 Comissões, ainda 6 representações metropolitanas distribuídas pela capital e 18 representações que englobam as mais variadas especialidades e questões relevantes à área médica.</w:t>
      </w:r>
      <w:commentRangeEnd w:id="4"/>
      <w:r>
        <w:commentReference w:id="4"/>
      </w:r>
      <w:r>
        <w:rPr>
          <w:rFonts w:ascii="Calibri" w:hAnsi="Calibri"/>
          <w:color w:val="000000"/>
        </w:rPr>
      </w:r>
    </w:p>
    <w:p>
      <w:pPr>
        <w:pStyle w:val="Normal"/>
        <w:widowControl w:val="false"/>
        <w:jc w:val="both"/>
        <w:rPr>
          <w:rFonts w:ascii="Calibri" w:hAnsi="Calibri" w:eastAsia="SimSun" w:cs="Calibri"/>
          <w:color w:val="00000A"/>
          <w:kern w:val="0"/>
        </w:rPr>
      </w:pPr>
      <w:r>
        <w:rPr>
          <w:rFonts w:eastAsia="SimSun" w:cs="Calibri" w:ascii="Calibri" w:hAnsi="Calibri"/>
          <w:color w:val="00000A"/>
          <w:kern w:val="0"/>
        </w:rPr>
      </w:r>
    </w:p>
    <w:p>
      <w:pPr>
        <w:pStyle w:val="Normal"/>
        <w:numPr>
          <w:ilvl w:val="1"/>
          <w:numId w:val="1"/>
        </w:numPr>
        <w:ind w:left="0" w:hanging="0"/>
        <w:jc w:val="both"/>
        <w:rPr>
          <w:rFonts w:ascii="Calibri" w:hAnsi="Calibri"/>
        </w:rPr>
      </w:pPr>
      <w:commentRangeStart w:id="5"/>
      <w:r>
        <w:rPr>
          <w:rFonts w:cs="Calibri" w:ascii="Calibri" w:hAnsi="Calibri"/>
          <w:color w:val="C9211E"/>
        </w:rPr>
        <w:t>Justificativa da necessidade do serviço pretendido, considerando o “Planejamento Estratégico”, “Relatório de Orçamento Anual do Setor”.</w:t>
      </w:r>
      <w:commentRangeEnd w:id="5"/>
      <w:r>
        <w:commentReference w:id="5"/>
      </w:r>
      <w:r>
        <w:rPr>
          <w:rFonts w:cs="Calibri" w:ascii="Calibri" w:hAnsi="Calibri"/>
          <w:color w:val="C9211E"/>
        </w:rPr>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commentRangeStart w:id="6"/>
      <w:r>
        <w:rPr>
          <w:rFonts w:cs="Calibri" w:ascii="Calibri" w:hAnsi="Calibri"/>
          <w:color w:val="C9211E"/>
        </w:rPr>
        <w:t>Justificar o porquê é preciso. (Ex. A contratação do serviço é para manutenção de/reforma de/. Serviço continuado ou não).</w:t>
      </w:r>
      <w:commentRangeEnd w:id="6"/>
      <w:r>
        <w:commentReference w:id="6"/>
      </w:r>
      <w:r>
        <w:rPr>
          <w:rFonts w:cs="Calibri" w:ascii="Calibri" w:hAnsi="Calibri"/>
          <w:color w:val="C9211E"/>
        </w:rPr>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commentRangeStart w:id="7"/>
      <w:r>
        <w:rPr>
          <w:rFonts w:cs="Calibri" w:ascii="Calibri" w:hAnsi="Calibri"/>
          <w:color w:val="C9211E"/>
        </w:rPr>
        <w:t>Justificar o para quê é preciso. (Ex. O serviço é essencial para ...).</w:t>
      </w:r>
      <w:commentRangeEnd w:id="7"/>
      <w:r>
        <w:commentReference w:id="7"/>
      </w:r>
      <w:r>
        <w:rPr>
          <w:rFonts w:cs="Calibri" w:ascii="Calibri" w:hAnsi="Calibri"/>
          <w:color w:val="C9211E"/>
        </w:rPr>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commentRangeStart w:id="8"/>
      <w:r>
        <w:rPr>
          <w:rFonts w:ascii="Calibri" w:hAnsi="Calibri"/>
          <w:color w:val="C9211E"/>
        </w:rPr>
        <w:t>Justificar a consequência da não contratação. (Ex. A não contratação dos serviços acarretará os seguintes problemas….).</w:t>
      </w:r>
      <w:commentRangeEnd w:id="8"/>
      <w:r>
        <w:commentReference w:id="8"/>
      </w:r>
      <w:r>
        <w:rPr>
          <w:rFonts w:ascii="Calibri" w:hAnsi="Calibri"/>
          <w:color w:val="C9211E"/>
        </w:rPr>
      </w:r>
    </w:p>
    <w:p>
      <w:pPr>
        <w:pStyle w:val="Normal"/>
        <w:widowControl w:val="false"/>
        <w:jc w:val="both"/>
        <w:rPr>
          <w:rFonts w:ascii="Calibri" w:hAnsi="Calibri" w:cs="Calibri"/>
          <w:b/>
          <w:b/>
        </w:rPr>
      </w:pPr>
      <w:r>
        <w:rPr>
          <w:rFonts w:cs="Calibri" w:ascii="Calibri" w:hAnsi="Calibri"/>
          <w:b/>
        </w:rPr>
      </w:r>
    </w:p>
    <w:p>
      <w:pPr>
        <w:pStyle w:val="Normal"/>
        <w:widowControl w:val="false"/>
        <w:numPr>
          <w:ilvl w:val="1"/>
          <w:numId w:val="1"/>
        </w:numPr>
        <w:ind w:left="0" w:hanging="0"/>
        <w:jc w:val="both"/>
        <w:rPr>
          <w:rFonts w:ascii="Calibri" w:hAnsi="Calibri"/>
        </w:rPr>
      </w:pPr>
      <w:commentRangeStart w:id="9"/>
      <w:r>
        <w:rPr>
          <w:rFonts w:eastAsia="SimSun" w:cs="Calibri" w:ascii="Calibri" w:hAnsi="Calibri"/>
          <w:color w:val="00000A"/>
          <w:kern w:val="0"/>
        </w:rPr>
        <w:t>Cumpre salientar que, de acordo com a IN 67/2021, art. 4º, §§ 1º e 2º, faz-se necessário o controle para evitar fracionamento de despesa ou contratação indevida.</w:t>
      </w:r>
    </w:p>
    <w:p>
      <w:pPr>
        <w:pStyle w:val="Normal"/>
        <w:widowControl w:val="false"/>
        <w:jc w:val="both"/>
        <w:rPr>
          <w:rFonts w:ascii="Calibri" w:hAnsi="Calibri"/>
        </w:rPr>
      </w:pPr>
      <w:r>
        <w:rPr>
          <w:rFonts w:ascii="Calibri" w:hAnsi="Calibri"/>
        </w:rPr>
      </w:r>
    </w:p>
    <w:p>
      <w:pPr>
        <w:pStyle w:val="Normal"/>
        <w:widowControl w:val="false"/>
        <w:ind w:left="2268" w:hanging="0"/>
        <w:jc w:val="both"/>
        <w:rPr>
          <w:rFonts w:ascii="Calibri" w:hAnsi="Calibri"/>
        </w:rPr>
      </w:pPr>
      <w:r>
        <w:rPr>
          <w:rFonts w:eastAsia="SimSun" w:cs="Calibri" w:ascii="Calibri" w:hAnsi="Calibri"/>
          <w:color w:val="00000A"/>
          <w:kern w:val="0"/>
          <w:sz w:val="22"/>
          <w:szCs w:val="22"/>
        </w:rPr>
        <w:t>“</w:t>
      </w:r>
      <w:r>
        <w:rPr>
          <w:rFonts w:eastAsia="SimSun" w:cs="Calibri" w:ascii="Calibri" w:hAnsi="Calibri"/>
          <w:color w:val="00000A"/>
          <w:kern w:val="0"/>
          <w:sz w:val="22"/>
          <w:szCs w:val="22"/>
        </w:rPr>
        <w:t>Art. 4º Os órgãos e entidades adotarão a dispensa de licitação, na forma eletrônica, nas seguintes hipóteses:</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II – </w:t>
      </w:r>
      <w:r>
        <w:rPr>
          <w:rFonts w:eastAsia="SimSun" w:cs="Calibri" w:ascii="Calibri" w:hAnsi="Calibri"/>
          <w:b/>
          <w:bCs/>
          <w:color w:val="00000A"/>
          <w:kern w:val="0"/>
          <w:sz w:val="22"/>
          <w:szCs w:val="22"/>
        </w:rPr>
        <w:t>contratação de bens e serviços, no limite do disposto no inciso II do caput do art. 75 da Lei nº 14.133, de 2021</w:t>
      </w:r>
      <w:r>
        <w:rPr>
          <w:rFonts w:eastAsia="SimSun" w:cs="Calibri" w:ascii="Calibri" w:hAnsi="Calibri"/>
          <w:color w:val="00000A"/>
          <w:kern w:val="0"/>
          <w:sz w:val="22"/>
          <w:szCs w:val="22"/>
        </w:rPr>
        <w:t>;</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 1º </w:t>
      </w:r>
      <w:r>
        <w:rPr>
          <w:rFonts w:eastAsia="SimSun" w:cs="Calibri" w:ascii="Calibri" w:hAnsi="Calibri"/>
          <w:b/>
          <w:bCs/>
          <w:color w:val="00000A"/>
          <w:kern w:val="0"/>
          <w:sz w:val="22"/>
          <w:szCs w:val="22"/>
        </w:rPr>
        <w:t>Para fins de aferição dos valores que atendam aos limites referidos</w:t>
      </w:r>
      <w:r>
        <w:rPr>
          <w:rFonts w:eastAsia="SimSun" w:cs="Calibri" w:ascii="Calibri" w:hAnsi="Calibri"/>
          <w:color w:val="00000A"/>
          <w:kern w:val="0"/>
          <w:sz w:val="22"/>
          <w:szCs w:val="22"/>
        </w:rPr>
        <w:t xml:space="preserve"> nos incisos I e II do caput,</w:t>
      </w:r>
      <w:r>
        <w:rPr>
          <w:rFonts w:eastAsia="SimSun" w:cs="Calibri" w:ascii="Calibri" w:hAnsi="Calibri"/>
          <w:b/>
          <w:bCs/>
          <w:color w:val="00000A"/>
          <w:kern w:val="0"/>
          <w:sz w:val="22"/>
          <w:szCs w:val="22"/>
        </w:rPr>
        <w:t xml:space="preserve"> deverão ser observados:</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 – </w:t>
      </w:r>
      <w:r>
        <w:rPr>
          <w:rFonts w:eastAsia="SimSun" w:cs="Calibri" w:ascii="Calibri" w:hAnsi="Calibri"/>
          <w:b/>
          <w:bCs/>
          <w:color w:val="00000A"/>
          <w:kern w:val="0"/>
          <w:sz w:val="22"/>
          <w:szCs w:val="22"/>
        </w:rPr>
        <w:t>o somatório despendido no exercício financeiro</w:t>
      </w:r>
      <w:r>
        <w:rPr>
          <w:rFonts w:eastAsia="SimSun" w:cs="Calibri" w:ascii="Calibri" w:hAnsi="Calibri"/>
          <w:color w:val="00000A"/>
          <w:kern w:val="0"/>
          <w:sz w:val="22"/>
          <w:szCs w:val="22"/>
        </w:rPr>
        <w:t xml:space="preserve"> pela respectiva unidade gestora; e</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II – </w:t>
      </w:r>
      <w:r>
        <w:rPr>
          <w:rFonts w:eastAsia="SimSun" w:cs="Calibri" w:ascii="Calibri" w:hAnsi="Calibri"/>
          <w:b/>
          <w:bCs/>
          <w:color w:val="00000A"/>
          <w:kern w:val="0"/>
          <w:sz w:val="22"/>
          <w:szCs w:val="22"/>
        </w:rPr>
        <w:t>o somatório da despesa realizada com objetos de mesma natureza, entendidos como tais aqueles relativos a contratações no mesmo ramo de atividade.</w:t>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 xml:space="preserve">§ 2º Considera-se ramo de atividade a linha de fornecimento registrada pelo fornecedor quando do seu cadastramento no Sistema de Cadastramento Unificado de Fornecedores (Sicaf), vinculada: (Redação dada pela IN Seges/MGI n.º 8 de 2023). </w:t>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I – à classe de materiais, utilizando o Padrão Descritivo de Materiais (PDM) do Sistema de Catalogação de Material do Governo federal; ou</w:t>
      </w:r>
    </w:p>
    <w:p>
      <w:pPr>
        <w:pStyle w:val="Normal"/>
        <w:widowControl w:val="false"/>
        <w:ind w:left="2268" w:hanging="0"/>
        <w:jc w:val="both"/>
        <w:rPr>
          <w:rFonts w:ascii="Calibri" w:hAnsi="Calibri"/>
        </w:rPr>
      </w:pPr>
      <w:r>
        <w:rPr>
          <w:rFonts w:ascii="Calibri" w:hAnsi="Calibri"/>
        </w:rPr>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II – à descrição dos serviços ou das obras, constante do Sistema de Catalogação de Serviços ou de Obras do Governo federal." (NR) (grifo nosso)</w:t>
      </w:r>
      <w:commentRangeEnd w:id="9"/>
      <w:r>
        <w:commentReference w:id="9"/>
      </w:r>
      <w:r>
        <w:rPr>
          <w:rFonts w:eastAsia="SimSun" w:cs="Calibri" w:ascii="Calibri" w:hAnsi="Calibri"/>
          <w:b/>
          <w:bCs/>
          <w:color w:val="00000A"/>
          <w:kern w:val="0"/>
          <w:sz w:val="22"/>
          <w:szCs w:val="22"/>
        </w:rPr>
      </w:r>
    </w:p>
    <w:p>
      <w:pPr>
        <w:pStyle w:val="Normal"/>
        <w:widowControl w:val="false"/>
        <w:jc w:val="both"/>
        <w:rPr>
          <w:rFonts w:ascii="Calibri" w:hAnsi="Calibri"/>
        </w:rPr>
      </w:pPr>
      <w:r>
        <w:rPr>
          <w:rFonts w:ascii="Calibri" w:hAnsi="Calibri"/>
        </w:rPr>
      </w:r>
    </w:p>
    <w:p>
      <w:pPr>
        <w:pStyle w:val="Normal"/>
        <w:widowControl w:val="false"/>
        <w:numPr>
          <w:ilvl w:val="1"/>
          <w:numId w:val="1"/>
        </w:numPr>
        <w:ind w:left="0" w:hanging="0"/>
        <w:jc w:val="both"/>
        <w:rPr>
          <w:rFonts w:ascii="Calibri" w:hAnsi="Calibri"/>
        </w:rPr>
      </w:pPr>
      <w:r>
        <w:rPr>
          <w:rFonts w:eastAsia="SimSun" w:cs="Calibri" w:ascii="Calibri" w:hAnsi="Calibri"/>
          <w:color w:val="00000A"/>
          <w:kern w:val="0"/>
          <w:sz w:val="22"/>
          <w:szCs w:val="22"/>
        </w:rPr>
        <w:t>Consideramos o Sistema de Catalogação de Serviço do Governo Federal conforme tabela abaixo:</w:t>
      </w:r>
    </w:p>
    <w:p>
      <w:pPr>
        <w:pStyle w:val="Normal"/>
        <w:widowControl w:val="false"/>
        <w:jc w:val="both"/>
        <w:rPr>
          <w:rFonts w:ascii="Calibri" w:hAnsi="Calibri" w:cs="Calibri"/>
          <w:color w:val="00000A"/>
        </w:rPr>
      </w:pPr>
      <w:r>
        <w:rPr>
          <w:rFonts w:cs="Calibri" w:ascii="Calibri" w:hAnsi="Calibri"/>
          <w:color w:val="00000A"/>
        </w:rPr>
      </w:r>
    </w:p>
    <w:tbl>
      <w:tblPr>
        <w:tblW w:w="9752"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851"/>
        <w:gridCol w:w="1272"/>
        <w:gridCol w:w="7629"/>
      </w:tblGrid>
      <w:tr>
        <w:trPr/>
        <w:tc>
          <w:tcPr>
            <w:tcW w:w="851"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ITEM</w:t>
            </w:r>
          </w:p>
        </w:tc>
        <w:tc>
          <w:tcPr>
            <w:tcW w:w="1272"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CATSER</w:t>
            </w:r>
          </w:p>
        </w:tc>
        <w:tc>
          <w:tcPr>
            <w:tcW w:w="7629"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DESCRIÇÃO</w:t>
            </w:r>
          </w:p>
        </w:tc>
      </w:tr>
      <w:tr>
        <w:trPr/>
        <w:tc>
          <w:tcPr>
            <w:tcW w:w="851" w:type="dxa"/>
            <w:tcBorders>
              <w:left w:val="single" w:sz="2" w:space="0" w:color="000001"/>
              <w:bottom w:val="single" w:sz="2" w:space="0" w:color="000001"/>
            </w:tcBorders>
            <w:vAlign w:val="center"/>
          </w:tcPr>
          <w:p>
            <w:pPr>
              <w:pStyle w:val="Contedodatabela"/>
              <w:widowControl w:val="false"/>
              <w:jc w:val="center"/>
              <w:rPr>
                <w:rFonts w:ascii="Calibri" w:hAnsi="Calibri"/>
              </w:rPr>
            </w:pPr>
            <w:commentRangeStart w:id="10"/>
            <w:r>
              <w:rPr>
                <w:rFonts w:cs="Calibri" w:ascii="Calibri" w:hAnsi="Calibri" w:asciiTheme="minorHAnsi" w:cstheme="minorHAnsi" w:hAnsiTheme="minorHAnsi"/>
                <w:sz w:val="20"/>
                <w:szCs w:val="20"/>
              </w:rPr>
              <w:t>1</w:t>
            </w:r>
          </w:p>
        </w:tc>
        <w:tc>
          <w:tcPr>
            <w:tcW w:w="1272" w:type="dxa"/>
            <w:tcBorders>
              <w:left w:val="single" w:sz="2" w:space="0" w:color="000001"/>
              <w:bottom w:val="single" w:sz="2" w:space="0" w:color="000001"/>
            </w:tcBorders>
            <w:vAlign w:val="center"/>
          </w:tcPr>
          <w:p>
            <w:pPr>
              <w:pStyle w:val="Contedodatabela"/>
              <w:widowControl w:val="false"/>
              <w:jc w:val="center"/>
              <w:rPr>
                <w:rFonts w:ascii="Calibri" w:hAnsi="Calibri"/>
              </w:rPr>
            </w:pPr>
            <w:r>
              <w:rPr>
                <w:rFonts w:ascii="Calibri" w:hAnsi="Calibri"/>
                <w:sz w:val="20"/>
                <w:szCs w:val="20"/>
              </w:rPr>
              <w:t>10219</w:t>
            </w:r>
          </w:p>
        </w:tc>
        <w:tc>
          <w:tcPr>
            <w:tcW w:w="7629" w:type="dxa"/>
            <w:tcBorders>
              <w:left w:val="single" w:sz="2" w:space="0" w:color="000001"/>
              <w:bottom w:val="single" w:sz="2" w:space="0" w:color="000001"/>
              <w:right w:val="single" w:sz="2" w:space="0" w:color="000001"/>
            </w:tcBorders>
            <w:vAlign w:val="center"/>
          </w:tcPr>
          <w:p>
            <w:pPr>
              <w:pStyle w:val="Normal"/>
              <w:widowControl w:val="false"/>
              <w:rPr>
                <w:rFonts w:ascii="Calibri" w:hAnsi="Calibri"/>
              </w:rPr>
            </w:pPr>
            <w:r>
              <w:rPr>
                <w:rFonts w:ascii="Calibri" w:hAnsi="Calibri"/>
                <w:sz w:val="20"/>
                <w:szCs w:val="20"/>
              </w:rPr>
              <w:t>RESENHA DE NOTICIA / AGENCIAMENTO DE INFORMAÇÃO / SINOPSE / RECORTE NOTICIA</w:t>
            </w:r>
            <w:commentRangeEnd w:id="10"/>
            <w:r>
              <w:commentReference w:id="10"/>
            </w:r>
            <w:r>
              <w:rPr>
                <w:rFonts w:ascii="Calibri" w:hAnsi="Calibri"/>
                <w:sz w:val="20"/>
                <w:szCs w:val="20"/>
              </w:rPr>
            </w:r>
          </w:p>
        </w:tc>
      </w:tr>
    </w:tbl>
    <w:p>
      <w:pPr>
        <w:pStyle w:val="Normal"/>
        <w:widowControl w:val="false"/>
        <w:jc w:val="both"/>
        <w:rPr>
          <w:rFonts w:ascii="Calibri" w:hAnsi="Calibri" w:cs="Calibri"/>
          <w:color w:val="FF0000"/>
        </w:rPr>
      </w:pPr>
      <w:r>
        <w:rPr>
          <w:rFonts w:cs="Calibri" w:ascii="Calibri" w:hAnsi="Calibri"/>
          <w:color w:val="FF0000"/>
        </w:rPr>
      </w:r>
    </w:p>
    <w:p>
      <w:pPr>
        <w:pStyle w:val="Normal"/>
        <w:widowControl w:val="false"/>
        <w:numPr>
          <w:ilvl w:val="1"/>
          <w:numId w:val="1"/>
        </w:numPr>
        <w:ind w:left="0" w:hanging="0"/>
        <w:jc w:val="both"/>
        <w:rPr>
          <w:rFonts w:ascii="Calibri" w:hAnsi="Calibri"/>
        </w:rPr>
      </w:pPr>
      <w:r>
        <w:rPr>
          <w:rFonts w:eastAsia="SimSun" w:cs="Calibri" w:ascii="Calibri" w:hAnsi="Calibri"/>
          <w:color w:val="00000A"/>
          <w:kern w:val="0"/>
        </w:rPr>
        <w:t>De acordo com o acima exposto e conforme controle realizado pelo setor de Análise Técnica e Compras, informamos que o valor disponível para aquisições referentes ao CATSER informado é o abaixo exposto:</w:t>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commentReference w:id="11"/>
      </w:r>
      <w:r>
        <w:drawing>
          <wp:anchor behindDoc="0" distT="0" distB="0" distL="0" distR="0" simplePos="0" locked="0" layoutInCell="0" allowOverlap="1" relativeHeight="22">
            <wp:simplePos x="0" y="0"/>
            <wp:positionH relativeFrom="column">
              <wp:align>center</wp:align>
            </wp:positionH>
            <wp:positionV relativeFrom="paragraph">
              <wp:posOffset>635</wp:posOffset>
            </wp:positionV>
            <wp:extent cx="2343150" cy="838200"/>
            <wp:effectExtent l="0" t="0" r="0" b="0"/>
            <wp:wrapSquare wrapText="largest"/>
            <wp:docPr id="1"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3" descr=""/>
                    <pic:cNvPicPr>
                      <a:picLocks noChangeAspect="1" noChangeArrowheads="1"/>
                    </pic:cNvPicPr>
                  </pic:nvPicPr>
                  <pic:blipFill>
                    <a:blip r:embed="rId2"/>
                    <a:stretch>
                      <a:fillRect/>
                    </a:stretch>
                  </pic:blipFill>
                  <pic:spPr bwMode="auto">
                    <a:xfrm>
                      <a:off x="0" y="0"/>
                      <a:ext cx="2343150" cy="838200"/>
                    </a:xfrm>
                    <a:prstGeom prst="rect">
                      <a:avLst/>
                    </a:prstGeom>
                  </pic:spPr>
                </pic:pic>
              </a:graphicData>
            </a:graphic>
          </wp:anchor>
        </w:drawing>
      </w:r>
      <w:r>
        <w:rPr/>
        <w:commentReference w:id="12"/>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numPr>
          <w:ilvl w:val="0"/>
          <w:numId w:val="1"/>
        </w:numPr>
        <w:shd w:val="clear" w:fill="38AB81"/>
        <w:jc w:val="both"/>
        <w:rPr>
          <w:rFonts w:ascii="Calibri" w:hAnsi="Calibri"/>
        </w:rPr>
      </w:pPr>
      <w:r>
        <w:rPr>
          <w:rFonts w:cs="Calibri" w:ascii="Calibri" w:hAnsi="Calibri"/>
          <w:b/>
          <w:bCs/>
          <w:color w:val="FFFFFF"/>
          <w:sz w:val="24"/>
          <w:szCs w:val="24"/>
        </w:rPr>
        <w:t>Área Requisitante:</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1"/>
          <w:numId w:val="1"/>
        </w:numPr>
        <w:ind w:left="0" w:right="0" w:hanging="0"/>
        <w:jc w:val="both"/>
        <w:rPr>
          <w:rFonts w:ascii="Calibri" w:hAnsi="Calibri"/>
        </w:rPr>
      </w:pPr>
      <w:r>
        <w:rPr>
          <w:rFonts w:cs="Calibri" w:ascii="Calibri" w:hAnsi="Calibri"/>
          <w:b w:val="false"/>
          <w:bCs w:val="false"/>
          <w:color w:val="00000A"/>
        </w:rPr>
        <w:t>A necessidade da demanda é oriunda da(s) seguinte(s) área(s):</w:t>
      </w:r>
    </w:p>
    <w:p>
      <w:pPr>
        <w:pStyle w:val="Normal"/>
        <w:ind w:left="0" w:right="0" w:hanging="0"/>
        <w:jc w:val="both"/>
        <w:rPr>
          <w:rFonts w:ascii="Calibri" w:hAnsi="Calibri"/>
        </w:rPr>
      </w:pPr>
      <w:r>
        <w:rPr>
          <w:rFonts w:ascii="Calibri" w:hAnsi="Calibri"/>
        </w:rPr>
      </w:r>
    </w:p>
    <w:tbl>
      <w:tblPr>
        <w:tblW w:w="7488" w:type="dxa"/>
        <w:jc w:val="center"/>
        <w:tblInd w:w="0" w:type="dxa"/>
        <w:tblLayout w:type="fixed"/>
        <w:tblCellMar>
          <w:top w:w="55" w:type="dxa"/>
          <w:left w:w="55" w:type="dxa"/>
          <w:bottom w:w="55" w:type="dxa"/>
          <w:right w:w="55" w:type="dxa"/>
        </w:tblCellMar>
        <w:tblLook w:firstRow="0" w:noVBand="0" w:lastRow="0" w:firstColumn="0" w:lastColumn="0" w:noHBand="0" w:val="0000"/>
      </w:tblPr>
      <w:tblGrid>
        <w:gridCol w:w="3401"/>
        <w:gridCol w:w="4086"/>
      </w:tblGrid>
      <w:tr>
        <w:trPr/>
        <w:tc>
          <w:tcPr>
            <w:tcW w:w="3401" w:type="dxa"/>
            <w:tcBorders>
              <w:top w:val="single" w:sz="2" w:space="0" w:color="000000"/>
              <w:left w:val="single" w:sz="2" w:space="0" w:color="000000"/>
              <w:bottom w:val="single" w:sz="2" w:space="0" w:color="000000"/>
            </w:tcBorders>
            <w:shd w:color="auto" w:fill="38AB81" w:val="clear"/>
          </w:tcPr>
          <w:p>
            <w:pPr>
              <w:pStyle w:val="Contedodatabela"/>
              <w:widowControl w:val="false"/>
              <w:jc w:val="center"/>
              <w:rPr>
                <w:sz w:val="20"/>
                <w:szCs w:val="20"/>
              </w:rPr>
            </w:pPr>
            <w:r>
              <w:rPr>
                <w:rFonts w:cs="Calibri" w:ascii="Calibri" w:hAnsi="Calibri"/>
                <w:b/>
                <w:bCs/>
                <w:color w:val="FFFFFF"/>
                <w:sz w:val="20"/>
                <w:szCs w:val="20"/>
              </w:rPr>
              <w:t>Área</w:t>
            </w:r>
          </w:p>
        </w:tc>
        <w:tc>
          <w:tcPr>
            <w:tcW w:w="4086" w:type="dxa"/>
            <w:tcBorders>
              <w:top w:val="single" w:sz="2" w:space="0" w:color="000000"/>
              <w:left w:val="single" w:sz="2" w:space="0" w:color="000000"/>
              <w:bottom w:val="single" w:sz="2" w:space="0" w:color="000000"/>
              <w:right w:val="single" w:sz="2" w:space="0" w:color="000000"/>
            </w:tcBorders>
            <w:shd w:color="auto" w:fill="38AB81" w:val="clear"/>
          </w:tcPr>
          <w:p>
            <w:pPr>
              <w:pStyle w:val="Contedodatabela"/>
              <w:widowControl w:val="false"/>
              <w:jc w:val="center"/>
              <w:rPr>
                <w:sz w:val="20"/>
                <w:szCs w:val="20"/>
              </w:rPr>
            </w:pPr>
            <w:r>
              <w:rPr>
                <w:rFonts w:cs="Calibri" w:ascii="Calibri" w:hAnsi="Calibri"/>
                <w:b/>
                <w:bCs/>
                <w:color w:val="FFFFFF"/>
                <w:sz w:val="20"/>
                <w:szCs w:val="20"/>
              </w:rPr>
              <w:t>Responsável</w:t>
            </w:r>
          </w:p>
        </w:tc>
      </w:tr>
      <w:tr>
        <w:trPr/>
        <w:tc>
          <w:tcPr>
            <w:tcW w:w="3401" w:type="dxa"/>
            <w:tcBorders>
              <w:left w:val="single" w:sz="2" w:space="0" w:color="000000"/>
              <w:bottom w:val="single" w:sz="2" w:space="0" w:color="000000"/>
            </w:tcBorders>
          </w:tcPr>
          <w:p>
            <w:pPr>
              <w:pStyle w:val="Contedodatabela"/>
              <w:widowControl w:val="false"/>
              <w:jc w:val="center"/>
              <w:rPr>
                <w:color w:val="C9211E"/>
                <w:szCs w:val="20"/>
              </w:rPr>
            </w:pPr>
            <w:commentRangeStart w:id="13"/>
            <w:r>
              <w:rPr>
                <w:rFonts w:cs="Calibri" w:ascii="Calibri" w:hAnsi="Calibri"/>
                <w:color w:val="C9211E"/>
                <w:sz w:val="20"/>
                <w:szCs w:val="20"/>
                <w:shd w:fill="auto" w:val="clear"/>
              </w:rPr>
              <w:t>Setor demandante</w:t>
            </w:r>
          </w:p>
        </w:tc>
        <w:tc>
          <w:tcPr>
            <w:tcW w:w="4086" w:type="dxa"/>
            <w:tcBorders>
              <w:left w:val="single" w:sz="2" w:space="0" w:color="000000"/>
              <w:bottom w:val="single" w:sz="2" w:space="0" w:color="000000"/>
              <w:right w:val="single" w:sz="2" w:space="0" w:color="000000"/>
            </w:tcBorders>
          </w:tcPr>
          <w:p>
            <w:pPr>
              <w:pStyle w:val="Contedodatabela"/>
              <w:widowControl w:val="false"/>
              <w:jc w:val="center"/>
              <w:rPr/>
            </w:pPr>
            <w:r>
              <w:rPr>
                <w:rStyle w:val="Strong"/>
                <w:rFonts w:cs="Calibri" w:ascii="Calibri" w:hAnsi="Calibri"/>
                <w:b w:val="false"/>
                <w:bCs w:val="false"/>
                <w:i w:val="false"/>
                <w:caps w:val="false"/>
                <w:smallCaps w:val="false"/>
                <w:color w:val="C9211E"/>
                <w:spacing w:val="0"/>
                <w:sz w:val="20"/>
                <w:szCs w:val="20"/>
                <w:shd w:fill="auto" w:val="clear"/>
              </w:rPr>
              <w:t>Nome do demandante</w:t>
            </w:r>
            <w:commentRangeEnd w:id="13"/>
            <w:r>
              <w:commentReference w:id="13"/>
            </w:r>
            <w:r>
              <w:rPr>
                <w:rStyle w:val="Strong"/>
                <w:rFonts w:cs="Calibri" w:ascii="Calibri" w:hAnsi="Calibri"/>
                <w:b w:val="false"/>
                <w:bCs w:val="false"/>
                <w:i w:val="false"/>
                <w:caps w:val="false"/>
                <w:smallCaps w:val="false"/>
                <w:color w:val="C9211E"/>
                <w:spacing w:val="0"/>
                <w:sz w:val="20"/>
                <w:szCs w:val="20"/>
                <w:shd w:fill="auto" w:val="clear"/>
              </w:rPr>
            </w:r>
          </w:p>
        </w:tc>
      </w:tr>
    </w:tbl>
    <w:p>
      <w:pPr>
        <w:pStyle w:val="Normal"/>
        <w:ind w:left="0" w:right="0" w:hanging="0"/>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Requisitos da contratação: (IN 58/2022 SEGES, art. 9º, inciso 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commentRangeStart w:id="14"/>
      <w:r>
        <w:rPr>
          <w:rFonts w:cs="Calibri" w:ascii="Calibri" w:hAnsi="Calibri"/>
          <w:color w:val="000000"/>
        </w:rPr>
        <w:t xml:space="preserve">A contratação deverá observar os seguintes requisitos: </w:t>
      </w:r>
    </w:p>
    <w:p>
      <w:pPr>
        <w:pStyle w:val="Normal"/>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A aquisição do objeto deste estudo obedecerá aos critérios de sustentabilidade ambiental contidos no Guia Nacional de Contrações Sustentáveis, no que couber.</w:t>
      </w:r>
    </w:p>
    <w:p>
      <w:pPr>
        <w:pStyle w:val="Normal"/>
        <w:numPr>
          <w:ilvl w:val="0"/>
          <w:numId w:val="0"/>
        </w:numPr>
        <w:ind w:left="397" w:hanging="0"/>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Os serviços a serem contratados enquadram-se nos pressupostos do Decreto n° 9.507, de 21 de setembro de 2018, não se constituindo em quaisquer das atividades, previstas no art. 3º do aludido decreto, cuja execução indireta é vedada.</w:t>
      </w:r>
    </w:p>
    <w:p>
      <w:pPr>
        <w:pStyle w:val="Normal"/>
        <w:numPr>
          <w:ilvl w:val="0"/>
          <w:numId w:val="0"/>
        </w:numPr>
        <w:ind w:left="397" w:hanging="0"/>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A prestação dos serviços não gera vínculo empregatício entre os empregados da Contratada e a Administração Contratante, vedando-se qualquer relação que caracterize pessoalidade e subordinação direta.</w:t>
      </w:r>
    </w:p>
    <w:p>
      <w:pPr>
        <w:pStyle w:val="Normal"/>
        <w:numPr>
          <w:ilvl w:val="0"/>
          <w:numId w:val="0"/>
        </w:numPr>
        <w:ind w:left="397" w:hanging="0"/>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Apresentação de atestado(s) de Capacidade Técnica, fornecido por pessoa jurídica de direito público ou privado, em papel timbrado do emitente, constando, no mínimo, a razão social do emitente, objeto contratual, nome e cargo/função do responsável pela emissão, declarando que a empresa prestou, a contento, serviço compatível com o objeto da presente contratação.</w:t>
      </w:r>
    </w:p>
    <w:p>
      <w:pPr>
        <w:pStyle w:val="Normal"/>
        <w:numPr>
          <w:ilvl w:val="0"/>
          <w:numId w:val="0"/>
        </w:numPr>
        <w:ind w:left="397" w:hanging="0"/>
        <w:jc w:val="both"/>
        <w:rPr>
          <w:rFonts w:ascii="Calibri" w:hAnsi="Calibri"/>
        </w:rPr>
      </w:pPr>
      <w:r>
        <w:rPr>
          <w:rFonts w:ascii="Calibri" w:hAnsi="Calibri"/>
        </w:rPr>
      </w:r>
    </w:p>
    <w:p>
      <w:pPr>
        <w:pStyle w:val="Normal"/>
        <w:widowControl/>
        <w:numPr>
          <w:ilvl w:val="3"/>
          <w:numId w:val="1"/>
        </w:numPr>
        <w:suppressAutoHyphens w:val="true"/>
        <w:overflowPunct w:val="false"/>
        <w:bidi w:val="0"/>
        <w:spacing w:before="0" w:after="0"/>
        <w:ind w:left="964" w:right="0" w:hanging="0"/>
        <w:jc w:val="both"/>
        <w:rPr>
          <w:rFonts w:ascii="Calibri" w:hAnsi="Calibri"/>
        </w:rPr>
      </w:pPr>
      <w:r>
        <w:rPr>
          <w:rFonts w:ascii="Calibri" w:hAnsi="Calibri"/>
        </w:rPr>
        <w:t>Fica dispensada desta exigência a empresa a ser contratada, no caso desta já ter realizado contratação anterior com o CREMERJ, com total e satisfatória execução do objeto.</w:t>
      </w:r>
    </w:p>
    <w:p>
      <w:pPr>
        <w:pStyle w:val="Normal"/>
        <w:ind w:left="397" w:hanging="0"/>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Não haverá exigência da garantia da contratação constante dos arts. 96 e seguintes da Lei nº 14.133/21, por se tratar de uma contratação direta de pequeno valor.</w:t>
      </w:r>
    </w:p>
    <w:p>
      <w:pPr>
        <w:pStyle w:val="Normal"/>
        <w:ind w:left="397" w:hanging="0"/>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Não será admitida a subcontratação do objeto contratual.</w:t>
      </w:r>
      <w:commentRangeEnd w:id="14"/>
      <w:r>
        <w:commentReference w:id="14"/>
      </w:r>
      <w:r>
        <w:rPr>
          <w:rFonts w:ascii="Calibri" w:hAnsi="Calibri"/>
        </w:rPr>
      </w:r>
    </w:p>
    <w:p>
      <w:pPr>
        <w:pStyle w:val="Normal"/>
        <w:numPr>
          <w:ilvl w:val="0"/>
          <w:numId w:val="0"/>
        </w:numPr>
        <w:ind w:left="397" w:hanging="0"/>
        <w:jc w:val="both"/>
        <w:rPr>
          <w:rFonts w:ascii="Calibri" w:hAnsi="Calibri"/>
        </w:rPr>
      </w:pPr>
      <w:r>
        <w:rPr/>
      </w:r>
    </w:p>
    <w:p>
      <w:pPr>
        <w:pStyle w:val="Normal"/>
        <w:numPr>
          <w:ilvl w:val="0"/>
          <w:numId w:val="1"/>
        </w:numPr>
        <w:shd w:val="clear" w:color="auto" w:fill="38AB81"/>
        <w:jc w:val="both"/>
        <w:rPr>
          <w:rFonts w:ascii="Calibri" w:hAnsi="Calibri"/>
        </w:rPr>
      </w:pPr>
      <w:r>
        <w:rPr>
          <w:rFonts w:cs="Calibri" w:ascii="Calibri" w:hAnsi="Calibri"/>
          <w:b/>
          <w:bCs/>
          <w:color w:val="FFFFFF"/>
        </w:rPr>
        <w:t>Levantamento de mercado: (IN 58/2022 SEGES, art. 9º, inciso III)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Em levantamento de mercado realizado, houve a prospecção das seguintes alternativas para o atendimento da demanda, conforme IN 58/2022 SEGES, art. 9º, inciso III, alínea “a”:</w:t>
      </w:r>
    </w:p>
    <w:p>
      <w:pPr>
        <w:pStyle w:val="Normal"/>
        <w:jc w:val="both"/>
        <w:rPr>
          <w:rFonts w:ascii="Calibri" w:hAnsi="Calibri"/>
          <w:color w:val="C9211E"/>
        </w:rPr>
      </w:pPr>
      <w:r>
        <w:rPr>
          <w:rFonts w:ascii="Calibri" w:hAnsi="Calibri"/>
          <w:color w:val="C9211E"/>
        </w:rPr>
      </w:r>
    </w:p>
    <w:tbl>
      <w:tblPr>
        <w:tblW w:w="9130"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1595"/>
        <w:gridCol w:w="1185"/>
        <w:gridCol w:w="4135"/>
        <w:gridCol w:w="450"/>
        <w:gridCol w:w="630"/>
        <w:gridCol w:w="389"/>
        <w:gridCol w:w="746"/>
      </w:tblGrid>
      <w:tr>
        <w:trPr/>
        <w:tc>
          <w:tcPr>
            <w:tcW w:w="1595" w:type="dxa"/>
            <w:vMerge w:val="restart"/>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Alternativa 1:</w:t>
            </w:r>
          </w:p>
          <w:p>
            <w:pPr>
              <w:pStyle w:val="Contedodatabela"/>
              <w:widowControl w:val="false"/>
              <w:jc w:val="center"/>
              <w:rPr>
                <w:rFonts w:ascii="Calibri" w:hAnsi="Calibri"/>
              </w:rPr>
            </w:pPr>
            <w:r>
              <w:rPr>
                <w:rFonts w:cs="Calibri" w:ascii="Calibri" w:hAnsi="Calibri"/>
                <w:b/>
                <w:bCs/>
                <w:color w:val="FFFFFF"/>
                <w:sz w:val="20"/>
                <w:szCs w:val="20"/>
              </w:rPr>
              <w:t>Adesão a Ata de Registro de Preços</w:t>
            </w:r>
          </w:p>
        </w:tc>
        <w:tc>
          <w:tcPr>
            <w:tcW w:w="1185"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Nome:</w:t>
            </w:r>
          </w:p>
        </w:tc>
        <w:tc>
          <w:tcPr>
            <w:tcW w:w="6350" w:type="dxa"/>
            <w:gridSpan w:val="5"/>
            <w:tcBorders>
              <w:top w:val="single" w:sz="2" w:space="0" w:color="000000"/>
              <w:left w:val="single" w:sz="2" w:space="0" w:color="000000"/>
              <w:bottom w:val="single" w:sz="2" w:space="0" w:color="000000"/>
              <w:right w:val="single" w:sz="2" w:space="0" w:color="000000"/>
            </w:tcBorders>
            <w:vAlign w:val="center"/>
          </w:tcPr>
          <w:p>
            <w:pPr>
              <w:pStyle w:val="Contedodatabela"/>
              <w:widowControl w:val="false"/>
              <w:jc w:val="both"/>
              <w:rPr>
                <w:color w:val="C9211E"/>
              </w:rPr>
            </w:pPr>
            <w:commentRangeStart w:id="15"/>
            <w:r>
              <w:rPr>
                <w:rFonts w:cs="Calibri" w:ascii="Calibri" w:hAnsi="Calibri"/>
                <w:color w:val="C9211E"/>
                <w:sz w:val="20"/>
                <w:szCs w:val="20"/>
              </w:rPr>
              <w:t>Descrição do objeto</w:t>
            </w:r>
            <w:commentRangeEnd w:id="15"/>
            <w:r>
              <w:commentReference w:id="15"/>
            </w:r>
            <w:r>
              <w:rPr>
                <w:rFonts w:cs="Calibri" w:ascii="Calibri" w:hAnsi="Calibri"/>
                <w:color w:val="C9211E"/>
                <w:sz w:val="20"/>
                <w:szCs w:val="20"/>
              </w:rPr>
            </w:r>
          </w:p>
        </w:tc>
      </w:tr>
      <w:tr>
        <w:trPr/>
        <w:tc>
          <w:tcPr>
            <w:tcW w:w="1595" w:type="dxa"/>
            <w:vMerge w:val="continue"/>
            <w:tcBorders>
              <w:top w:val="single" w:sz="2" w:space="0" w:color="000000"/>
              <w:left w:val="single" w:sz="2" w:space="0" w:color="000000"/>
              <w:bottom w:val="single" w:sz="2" w:space="0" w:color="000000"/>
            </w:tcBorders>
            <w:shd w:color="auto" w:fill="38AB81" w:val="clear"/>
            <w:vAlign w:val="center"/>
          </w:tcPr>
          <w:p>
            <w:pPr>
              <w:pStyle w:val="Normal"/>
              <w:widowControl w:val="false"/>
              <w:snapToGrid w:val="false"/>
              <w:rPr>
                <w:rFonts w:ascii="Calibri" w:hAnsi="Calibri"/>
                <w:sz w:val="20"/>
                <w:szCs w:val="20"/>
              </w:rPr>
            </w:pPr>
            <w:r>
              <w:rPr>
                <w:rFonts w:ascii="Calibri" w:hAnsi="Calibri"/>
                <w:sz w:val="20"/>
                <w:szCs w:val="20"/>
              </w:rPr>
            </w:r>
          </w:p>
        </w:tc>
        <w:tc>
          <w:tcPr>
            <w:tcW w:w="1185" w:type="dxa"/>
            <w:tcBorders>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Descrição:</w:t>
            </w:r>
          </w:p>
        </w:tc>
        <w:tc>
          <w:tcPr>
            <w:tcW w:w="6350" w:type="dxa"/>
            <w:gridSpan w:val="5"/>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descrição da solução a ser adquirida encontra-se especificada no subitem 7.1 deste ETP.</w:t>
            </w:r>
          </w:p>
        </w:tc>
      </w:tr>
      <w:tr>
        <w:trPr/>
        <w:tc>
          <w:tcPr>
            <w:tcW w:w="6915" w:type="dxa"/>
            <w:gridSpan w:val="3"/>
            <w:tcBorders>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Existe contratação igual ou similar realizada por outros órgãos e entidades?</w:t>
            </w:r>
          </w:p>
        </w:tc>
        <w:tc>
          <w:tcPr>
            <w:tcW w:w="45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x</w:t>
            </w:r>
          </w:p>
        </w:tc>
        <w:tc>
          <w:tcPr>
            <w:tcW w:w="63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Sim</w:t>
            </w:r>
          </w:p>
        </w:tc>
        <w:tc>
          <w:tcPr>
            <w:tcW w:w="389"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sz w:val="20"/>
                <w:szCs w:val="20"/>
              </w:rPr>
            </w:pPr>
            <w:r>
              <w:rPr>
                <w:rFonts w:cs="Calibri" w:ascii="Calibri" w:hAnsi="Calibri"/>
                <w:sz w:val="20"/>
                <w:szCs w:val="20"/>
              </w:rPr>
            </w:r>
          </w:p>
        </w:tc>
        <w:tc>
          <w:tcPr>
            <w:tcW w:w="746" w:type="dxa"/>
            <w:tcBorders>
              <w:left w:val="single" w:sz="2" w:space="0" w:color="000000"/>
              <w:bottom w:val="single" w:sz="2" w:space="0" w:color="000000"/>
              <w:right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Não</w:t>
            </w:r>
          </w:p>
        </w:tc>
      </w:tr>
      <w:tr>
        <w:trPr/>
        <w:tc>
          <w:tcPr>
            <w:tcW w:w="9130" w:type="dxa"/>
            <w:gridSpan w:val="7"/>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commentRangeStart w:id="16"/>
            <w:r>
              <w:rPr>
                <w:rFonts w:cs="Calibri" w:ascii="Calibri" w:hAnsi="Calibri"/>
                <w:sz w:val="20"/>
                <w:szCs w:val="20"/>
              </w:rPr>
              <w:t>Foram encontradas diversas Atas contemplando materiais similares, mas que não atendem completamente a necessidade abordada neste ETP, assim o processo de Adesão não seria o mais viável em termos de economicidade, eficiência e eficácia.</w:t>
            </w:r>
            <w:commentRangeEnd w:id="16"/>
            <w:r>
              <w:commentReference w:id="16"/>
            </w:r>
            <w:r>
              <w:rPr>
                <w:rFonts w:cs="Calibri" w:ascii="Calibri" w:hAnsi="Calibri"/>
                <w:sz w:val="20"/>
                <w:szCs w:val="20"/>
              </w:rPr>
            </w:r>
          </w:p>
        </w:tc>
      </w:tr>
    </w:tbl>
    <w:p>
      <w:pPr>
        <w:pStyle w:val="Normal"/>
        <w:jc w:val="both"/>
        <w:rPr>
          <w:rFonts w:ascii="Calibri" w:hAnsi="Calibri"/>
          <w:color w:val="C9211E"/>
        </w:rPr>
      </w:pPr>
      <w:r>
        <w:rPr>
          <w:rFonts w:ascii="Calibri" w:hAnsi="Calibri"/>
          <w:color w:val="C9211E"/>
        </w:rPr>
      </w:r>
    </w:p>
    <w:tbl>
      <w:tblPr>
        <w:tblW w:w="9130"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1595"/>
        <w:gridCol w:w="1185"/>
        <w:gridCol w:w="4135"/>
        <w:gridCol w:w="450"/>
        <w:gridCol w:w="630"/>
        <w:gridCol w:w="389"/>
        <w:gridCol w:w="746"/>
      </w:tblGrid>
      <w:tr>
        <w:trPr/>
        <w:tc>
          <w:tcPr>
            <w:tcW w:w="1595" w:type="dxa"/>
            <w:vMerge w:val="restart"/>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Alternativa 2:</w:t>
            </w:r>
          </w:p>
          <w:p>
            <w:pPr>
              <w:pStyle w:val="Contedodatabela"/>
              <w:widowControl w:val="false"/>
              <w:jc w:val="center"/>
              <w:rPr>
                <w:rFonts w:ascii="Calibri" w:hAnsi="Calibri"/>
              </w:rPr>
            </w:pPr>
            <w:r>
              <w:rPr>
                <w:rFonts w:cs="Calibri" w:ascii="Calibri" w:hAnsi="Calibri"/>
                <w:b/>
                <w:bCs/>
                <w:color w:val="FFFFFF"/>
                <w:sz w:val="20"/>
                <w:szCs w:val="20"/>
              </w:rPr>
              <w:t>Aquisição por meio de dispensa de licitação</w:t>
            </w:r>
          </w:p>
        </w:tc>
        <w:tc>
          <w:tcPr>
            <w:tcW w:w="1185"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Nome:</w:t>
            </w:r>
          </w:p>
        </w:tc>
        <w:tc>
          <w:tcPr>
            <w:tcW w:w="6350" w:type="dxa"/>
            <w:gridSpan w:val="5"/>
            <w:tcBorders>
              <w:top w:val="single" w:sz="2" w:space="0" w:color="000000"/>
              <w:left w:val="single" w:sz="2" w:space="0" w:color="000000"/>
              <w:bottom w:val="single" w:sz="2" w:space="0" w:color="000000"/>
              <w:right w:val="single" w:sz="2" w:space="0" w:color="000000"/>
            </w:tcBorders>
            <w:vAlign w:val="center"/>
          </w:tcPr>
          <w:p>
            <w:pPr>
              <w:pStyle w:val="Contedodatabela"/>
              <w:widowControl w:val="false"/>
              <w:jc w:val="both"/>
              <w:rPr>
                <w:color w:val="C9211E"/>
              </w:rPr>
            </w:pPr>
            <w:commentRangeStart w:id="17"/>
            <w:r>
              <w:rPr>
                <w:rFonts w:cs="Calibri" w:ascii="Calibri" w:hAnsi="Calibri"/>
                <w:color w:val="C9211E"/>
                <w:sz w:val="20"/>
                <w:szCs w:val="20"/>
              </w:rPr>
              <w:t>Descrição do objeto</w:t>
            </w:r>
            <w:commentRangeEnd w:id="17"/>
            <w:r>
              <w:commentReference w:id="17"/>
            </w:r>
            <w:r>
              <w:rPr>
                <w:rFonts w:cs="Calibri" w:ascii="Calibri" w:hAnsi="Calibri"/>
                <w:color w:val="C9211E"/>
                <w:sz w:val="20"/>
                <w:szCs w:val="20"/>
              </w:rPr>
            </w:r>
          </w:p>
        </w:tc>
      </w:tr>
      <w:tr>
        <w:trPr/>
        <w:tc>
          <w:tcPr>
            <w:tcW w:w="1595" w:type="dxa"/>
            <w:vMerge w:val="continue"/>
            <w:tcBorders>
              <w:top w:val="single" w:sz="2" w:space="0" w:color="000000"/>
              <w:left w:val="single" w:sz="2" w:space="0" w:color="000000"/>
              <w:bottom w:val="single" w:sz="2" w:space="0" w:color="000000"/>
            </w:tcBorders>
            <w:shd w:color="auto" w:fill="38AB81" w:val="clear"/>
            <w:vAlign w:val="center"/>
          </w:tcPr>
          <w:p>
            <w:pPr>
              <w:pStyle w:val="Normal"/>
              <w:widowControl w:val="false"/>
              <w:snapToGrid w:val="false"/>
              <w:rPr>
                <w:rFonts w:ascii="Calibri" w:hAnsi="Calibri"/>
                <w:sz w:val="20"/>
                <w:szCs w:val="20"/>
              </w:rPr>
            </w:pPr>
            <w:r>
              <w:rPr>
                <w:rFonts w:ascii="Calibri" w:hAnsi="Calibri"/>
                <w:sz w:val="20"/>
                <w:szCs w:val="20"/>
              </w:rPr>
            </w:r>
          </w:p>
        </w:tc>
        <w:tc>
          <w:tcPr>
            <w:tcW w:w="1185" w:type="dxa"/>
            <w:tcBorders>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Descrição:</w:t>
            </w:r>
          </w:p>
        </w:tc>
        <w:tc>
          <w:tcPr>
            <w:tcW w:w="6350" w:type="dxa"/>
            <w:gridSpan w:val="5"/>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descrição da solução a ser adquirida encontra-se especificada no subitem 7.1 deste ETP.</w:t>
            </w:r>
          </w:p>
        </w:tc>
      </w:tr>
      <w:tr>
        <w:trPr/>
        <w:tc>
          <w:tcPr>
            <w:tcW w:w="6915" w:type="dxa"/>
            <w:gridSpan w:val="3"/>
            <w:tcBorders>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Existe contratação igual ou similar realizada por outros órgãos e entidades?</w:t>
            </w:r>
          </w:p>
        </w:tc>
        <w:tc>
          <w:tcPr>
            <w:tcW w:w="45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x</w:t>
            </w:r>
          </w:p>
        </w:tc>
        <w:tc>
          <w:tcPr>
            <w:tcW w:w="63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Sim</w:t>
            </w:r>
          </w:p>
        </w:tc>
        <w:tc>
          <w:tcPr>
            <w:tcW w:w="389"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sz w:val="20"/>
                <w:szCs w:val="20"/>
              </w:rPr>
            </w:pPr>
            <w:r>
              <w:rPr>
                <w:rFonts w:cs="Calibri" w:ascii="Calibri" w:hAnsi="Calibri"/>
                <w:sz w:val="20"/>
                <w:szCs w:val="20"/>
              </w:rPr>
            </w:r>
          </w:p>
        </w:tc>
        <w:tc>
          <w:tcPr>
            <w:tcW w:w="746" w:type="dxa"/>
            <w:tcBorders>
              <w:left w:val="single" w:sz="2" w:space="0" w:color="000000"/>
              <w:bottom w:val="single" w:sz="2" w:space="0" w:color="000000"/>
              <w:right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Não</w:t>
            </w:r>
          </w:p>
        </w:tc>
      </w:tr>
      <w:tr>
        <w:trPr/>
        <w:tc>
          <w:tcPr>
            <w:tcW w:w="9130" w:type="dxa"/>
            <w:gridSpan w:val="7"/>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Pelo levantamento realizado, pôde-se constatar a possibilidade de aquisição do objeto em tela por meio de Dispensa de Licitação, pois o valor é inferior a R$ 57.208,33, valor este estipulado através do Decreto 11.317/2022. Assim, buscado a condição menos dispendiosa para este Conselho, a realização da Dispensa de Licitação, no formato eletrônico, não é apenas viável, como também, traz economicidade e o resultado esperado.</w:t>
            </w:r>
          </w:p>
        </w:tc>
      </w:tr>
    </w:tbl>
    <w:p>
      <w:pPr>
        <w:pStyle w:val="Normal"/>
        <w:jc w:val="both"/>
        <w:rPr>
          <w:rFonts w:ascii="Calibri" w:hAnsi="Calibri"/>
          <w:color w:val="C9211E"/>
        </w:rPr>
      </w:pPr>
      <w:r>
        <w:rPr>
          <w:rFonts w:ascii="Calibri" w:hAnsi="Calibri"/>
          <w:color w:val="C9211E"/>
        </w:rPr>
      </w:r>
    </w:p>
    <w:tbl>
      <w:tblPr>
        <w:tblW w:w="9130"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1595"/>
        <w:gridCol w:w="1185"/>
        <w:gridCol w:w="4135"/>
        <w:gridCol w:w="450"/>
        <w:gridCol w:w="630"/>
        <w:gridCol w:w="389"/>
        <w:gridCol w:w="746"/>
      </w:tblGrid>
      <w:tr>
        <w:trPr/>
        <w:tc>
          <w:tcPr>
            <w:tcW w:w="1595" w:type="dxa"/>
            <w:vMerge w:val="restart"/>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Alternativa 3:</w:t>
            </w:r>
          </w:p>
          <w:p>
            <w:pPr>
              <w:pStyle w:val="Contedodatabela"/>
              <w:widowControl w:val="false"/>
              <w:jc w:val="center"/>
              <w:rPr>
                <w:rFonts w:ascii="Calibri" w:hAnsi="Calibri"/>
              </w:rPr>
            </w:pPr>
            <w:r>
              <w:rPr>
                <w:rFonts w:cs="Calibri" w:ascii="Calibri" w:hAnsi="Calibri"/>
                <w:b/>
                <w:bCs/>
                <w:color w:val="FFFFFF"/>
                <w:sz w:val="20"/>
                <w:szCs w:val="20"/>
              </w:rPr>
              <w:t>Realização de Pregão Eletrônico</w:t>
            </w:r>
          </w:p>
        </w:tc>
        <w:tc>
          <w:tcPr>
            <w:tcW w:w="1185"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Nome:</w:t>
            </w:r>
          </w:p>
        </w:tc>
        <w:tc>
          <w:tcPr>
            <w:tcW w:w="6350" w:type="dxa"/>
            <w:gridSpan w:val="5"/>
            <w:tcBorders>
              <w:top w:val="single" w:sz="2" w:space="0" w:color="000000"/>
              <w:left w:val="single" w:sz="2" w:space="0" w:color="000000"/>
              <w:bottom w:val="single" w:sz="2" w:space="0" w:color="000000"/>
              <w:right w:val="single" w:sz="2" w:space="0" w:color="000000"/>
            </w:tcBorders>
            <w:vAlign w:val="center"/>
          </w:tcPr>
          <w:p>
            <w:pPr>
              <w:pStyle w:val="Contedodatabela"/>
              <w:widowControl w:val="false"/>
              <w:jc w:val="both"/>
              <w:rPr>
                <w:color w:val="C9211E"/>
              </w:rPr>
            </w:pPr>
            <w:commentRangeStart w:id="18"/>
            <w:r>
              <w:rPr>
                <w:rFonts w:cs="Calibri" w:ascii="Calibri" w:hAnsi="Calibri"/>
                <w:color w:val="C9211E"/>
                <w:sz w:val="20"/>
                <w:szCs w:val="20"/>
              </w:rPr>
              <w:t>Descrição do objeto</w:t>
            </w:r>
            <w:commentRangeEnd w:id="18"/>
            <w:r>
              <w:commentReference w:id="18"/>
            </w:r>
            <w:r>
              <w:rPr>
                <w:rFonts w:cs="Calibri" w:ascii="Calibri" w:hAnsi="Calibri"/>
                <w:color w:val="C9211E"/>
                <w:sz w:val="20"/>
                <w:szCs w:val="20"/>
              </w:rPr>
            </w:r>
          </w:p>
        </w:tc>
      </w:tr>
      <w:tr>
        <w:trPr/>
        <w:tc>
          <w:tcPr>
            <w:tcW w:w="1595" w:type="dxa"/>
            <w:vMerge w:val="continue"/>
            <w:tcBorders>
              <w:top w:val="single" w:sz="2" w:space="0" w:color="000000"/>
              <w:left w:val="single" w:sz="2" w:space="0" w:color="000000"/>
              <w:bottom w:val="single" w:sz="2" w:space="0" w:color="000000"/>
            </w:tcBorders>
            <w:shd w:color="auto" w:fill="38AB81" w:val="clear"/>
            <w:vAlign w:val="center"/>
          </w:tcPr>
          <w:p>
            <w:pPr>
              <w:pStyle w:val="Normal"/>
              <w:widowControl w:val="false"/>
              <w:snapToGrid w:val="false"/>
              <w:rPr>
                <w:rFonts w:ascii="Calibri" w:hAnsi="Calibri"/>
                <w:sz w:val="20"/>
                <w:szCs w:val="20"/>
              </w:rPr>
            </w:pPr>
            <w:r>
              <w:rPr>
                <w:rFonts w:ascii="Calibri" w:hAnsi="Calibri"/>
                <w:sz w:val="20"/>
                <w:szCs w:val="20"/>
              </w:rPr>
            </w:r>
          </w:p>
        </w:tc>
        <w:tc>
          <w:tcPr>
            <w:tcW w:w="1185" w:type="dxa"/>
            <w:tcBorders>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Descrição:</w:t>
            </w:r>
          </w:p>
        </w:tc>
        <w:tc>
          <w:tcPr>
            <w:tcW w:w="6350" w:type="dxa"/>
            <w:gridSpan w:val="5"/>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descrição da solução a ser adquirida encontra-se especificada no subitem 7.1 deste ETP.</w:t>
            </w:r>
          </w:p>
        </w:tc>
      </w:tr>
      <w:tr>
        <w:trPr/>
        <w:tc>
          <w:tcPr>
            <w:tcW w:w="6915" w:type="dxa"/>
            <w:gridSpan w:val="3"/>
            <w:tcBorders>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Existe contratação igual ou similar realizada por outros órgãos e entidades?</w:t>
            </w:r>
          </w:p>
        </w:tc>
        <w:tc>
          <w:tcPr>
            <w:tcW w:w="45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x</w:t>
            </w:r>
          </w:p>
        </w:tc>
        <w:tc>
          <w:tcPr>
            <w:tcW w:w="63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Sim</w:t>
            </w:r>
          </w:p>
        </w:tc>
        <w:tc>
          <w:tcPr>
            <w:tcW w:w="389"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sz w:val="20"/>
                <w:szCs w:val="20"/>
              </w:rPr>
            </w:pPr>
            <w:r>
              <w:rPr>
                <w:rFonts w:cs="Calibri" w:ascii="Calibri" w:hAnsi="Calibri"/>
                <w:sz w:val="20"/>
                <w:szCs w:val="20"/>
              </w:rPr>
            </w:r>
          </w:p>
        </w:tc>
        <w:tc>
          <w:tcPr>
            <w:tcW w:w="746" w:type="dxa"/>
            <w:tcBorders>
              <w:left w:val="single" w:sz="2" w:space="0" w:color="000000"/>
              <w:bottom w:val="single" w:sz="2" w:space="0" w:color="000000"/>
              <w:right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Não</w:t>
            </w:r>
          </w:p>
        </w:tc>
      </w:tr>
      <w:tr>
        <w:trPr/>
        <w:tc>
          <w:tcPr>
            <w:tcW w:w="9130" w:type="dxa"/>
            <w:gridSpan w:val="7"/>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realização de Pregão Eletrônico, apesar de viável, é morosa e também tem um custo elevado para a Administração em geral. No caso em questão, não há o fracionamento da despesa para enquadramento nos valores referentes à Dispensa de Licitação, mas sim o valor contempla plenamente a demanda.</w:t>
            </w:r>
          </w:p>
        </w:tc>
      </w:tr>
    </w:tbl>
    <w:p>
      <w:pPr>
        <w:pStyle w:val="Normal"/>
        <w:jc w:val="both"/>
        <w:rPr>
          <w:rFonts w:ascii="Calibri" w:hAnsi="Calibri"/>
          <w:color w:val="C9211E"/>
        </w:rPr>
      </w:pPr>
      <w:r>
        <w:rPr>
          <w:rFonts w:ascii="Calibri" w:hAnsi="Calibri"/>
          <w:color w:val="C9211E"/>
        </w:rPr>
      </w:r>
    </w:p>
    <w:p>
      <w:pPr>
        <w:pStyle w:val="Normal"/>
        <w:numPr>
          <w:ilvl w:val="0"/>
          <w:numId w:val="1"/>
        </w:numPr>
        <w:shd w:val="clear" w:color="auto" w:fill="38AB81"/>
        <w:jc w:val="both"/>
        <w:rPr>
          <w:rFonts w:ascii="Calibri" w:hAnsi="Calibri"/>
        </w:rPr>
      </w:pPr>
      <w:commentRangeStart w:id="19"/>
      <w:r>
        <w:rPr>
          <w:rFonts w:cs="Calibri" w:ascii="Calibri" w:hAnsi="Calibri"/>
          <w:b/>
          <w:bCs/>
          <w:color w:val="FFFFFF"/>
        </w:rPr>
        <w:t>Descrição da solução como um todo: (IN 58/2022 SEGES, art. 9º, inciso IV)</w:t>
      </w:r>
      <w:commentRangeEnd w:id="19"/>
      <w:r>
        <w:commentReference w:id="19"/>
      </w:r>
      <w:r>
        <w:rPr>
          <w:rFonts w:cs="Calibri" w:ascii="Calibri" w:hAnsi="Calibri"/>
          <w:b/>
          <w:bCs/>
          <w:color w:val="FFFFFF"/>
        </w:rPr>
      </w:r>
    </w:p>
    <w:p>
      <w:pPr>
        <w:pStyle w:val="Normal"/>
        <w:ind w:left="754" w:hanging="0"/>
        <w:jc w:val="both"/>
        <w:rPr>
          <w:rFonts w:ascii="Calibri" w:hAnsi="Calibri" w:cs="Calibri"/>
          <w:color w:val="00000A"/>
        </w:rPr>
      </w:pPr>
      <w:r>
        <w:rPr>
          <w:rFonts w:cs="Calibri" w:ascii="Calibri" w:hAnsi="Calibri"/>
          <w:color w:val="00000A"/>
        </w:rPr>
      </w:r>
    </w:p>
    <w:p>
      <w:pPr>
        <w:pStyle w:val="Normal"/>
        <w:ind w:left="754" w:hanging="0"/>
        <w:jc w:val="both"/>
        <w:rPr>
          <w:rFonts w:ascii="Calibri" w:hAnsi="Calibri" w:cs="Calibri"/>
          <w:b/>
          <w:b/>
          <w:bCs/>
          <w:color w:val="00000A"/>
          <w:u w:val="single"/>
        </w:rPr>
      </w:pPr>
      <w:commentRangeStart w:id="20"/>
      <w:r>
        <w:rPr>
          <w:rFonts w:cs="Calibri" w:ascii="Calibri" w:hAnsi="Calibri"/>
          <w:b/>
          <w:bCs/>
          <w:color w:val="00000A"/>
          <w:u w:val="single"/>
        </w:rPr>
        <w:t>DA SOLUÇÃO</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A descrição da solução, como um todo, abrange a c</w:t>
      </w:r>
      <w:r>
        <w:rPr>
          <w:rFonts w:cs="Calibri" w:ascii="Calibri" w:hAnsi="Calibri"/>
          <w:color w:val="C9211E"/>
        </w:rPr>
        <w:t>ontratação do serviço de (manutenção de computadores, manutenção de CFTV, limpeza de dutos)</w:t>
      </w:r>
      <w:r>
        <w:rPr>
          <w:rFonts w:cs="Calibri" w:ascii="Calibri" w:hAnsi="Calibri"/>
          <w:color w:val="000000"/>
        </w:rPr>
        <w:t>, por meio de dispensa de licitação, no formato eletrônico, sendo desenvolvido conforme a descrição abaixo:</w:t>
      </w:r>
    </w:p>
    <w:p>
      <w:pPr>
        <w:pStyle w:val="Normal"/>
        <w:jc w:val="both"/>
        <w:rPr>
          <w:rFonts w:ascii="Calibri" w:hAnsi="Calibri"/>
        </w:rPr>
      </w:pPr>
      <w:r>
        <w:rPr>
          <w:rFonts w:ascii="Calibri" w:hAnsi="Calibri"/>
        </w:rPr>
      </w:r>
    </w:p>
    <w:p>
      <w:pPr>
        <w:pStyle w:val="Normal"/>
        <w:ind w:left="754" w:hanging="0"/>
        <w:jc w:val="both"/>
        <w:rPr>
          <w:rFonts w:ascii="Calibri" w:hAnsi="Calibri" w:cs="Calibri"/>
          <w:b/>
          <w:b/>
          <w:bCs/>
          <w:color w:val="00000A"/>
          <w:u w:val="single"/>
        </w:rPr>
      </w:pPr>
      <w:r>
        <w:rPr>
          <w:rFonts w:cs="Calibri" w:ascii="Calibri" w:hAnsi="Calibri"/>
          <w:b/>
          <w:bCs/>
          <w:color w:val="00000A"/>
          <w:u w:val="single"/>
        </w:rPr>
        <w:t>DOS SERVIÇOS</w:t>
      </w:r>
    </w:p>
    <w:p>
      <w:pPr>
        <w:pStyle w:val="Normal"/>
        <w:jc w:val="both"/>
        <w:rPr>
          <w:rFonts w:ascii="Calibri" w:hAnsi="Calibri" w:cs="Calibri"/>
          <w:color w:val="000000"/>
        </w:rPr>
      </w:pPr>
      <w:r>
        <w:rPr>
          <w:rFonts w:cs="Calibri" w:ascii="Calibri" w:hAnsi="Calibri"/>
          <w:color w:val="000000"/>
        </w:rPr>
      </w:r>
    </w:p>
    <w:p>
      <w:pPr>
        <w:pStyle w:val="Normal"/>
        <w:numPr>
          <w:ilvl w:val="1"/>
          <w:numId w:val="1"/>
        </w:numPr>
        <w:ind w:left="0" w:hanging="0"/>
        <w:jc w:val="both"/>
        <w:rPr>
          <w:rFonts w:ascii="Calibri" w:hAnsi="Calibri" w:cs="Calibri"/>
          <w:color w:val="C9211E"/>
        </w:rPr>
      </w:pPr>
      <w:r>
        <w:rPr>
          <w:rFonts w:cs="Calibri" w:ascii="Calibri" w:hAnsi="Calibri"/>
          <w:color w:val="C9211E"/>
        </w:rPr>
        <w:t>Descrever todas as especificações do serviço que se deseja contratar.</w:t>
      </w:r>
    </w:p>
    <w:p>
      <w:pPr>
        <w:pStyle w:val="Normal"/>
        <w:ind w:left="964" w:hanging="0"/>
        <w:jc w:val="both"/>
        <w:rPr>
          <w:rFonts w:ascii="Calibri" w:hAnsi="Calibri"/>
        </w:rPr>
      </w:pPr>
      <w:r>
        <w:rPr>
          <w:rFonts w:ascii="Calibri" w:hAnsi="Calibri"/>
        </w:rPr>
      </w:r>
    </w:p>
    <w:p>
      <w:pPr>
        <w:pStyle w:val="Normal"/>
        <w:ind w:left="754" w:hanging="0"/>
        <w:jc w:val="both"/>
        <w:rPr>
          <w:rFonts w:ascii="Calibri" w:hAnsi="Calibri" w:cs="Calibri"/>
          <w:b/>
          <w:b/>
          <w:bCs/>
          <w:color w:val="00000A"/>
          <w:u w:val="single"/>
        </w:rPr>
      </w:pPr>
      <w:r>
        <w:rPr>
          <w:rFonts w:cs="Calibri" w:ascii="Calibri" w:hAnsi="Calibri"/>
          <w:b/>
          <w:bCs/>
          <w:color w:val="00000A"/>
          <w:u w:val="single"/>
        </w:rPr>
        <w:t>DO MODELO DE EXECUÇÃO</w:t>
      </w:r>
    </w:p>
    <w:p>
      <w:pPr>
        <w:pStyle w:val="Normal"/>
        <w:jc w:val="both"/>
        <w:rPr>
          <w:rFonts w:ascii="Calibri" w:hAnsi="Calibri" w:cs="Calibri"/>
          <w:color w:val="000000"/>
        </w:rPr>
      </w:pPr>
      <w:r>
        <w:rPr>
          <w:rFonts w:cs="Calibri" w:ascii="Calibri" w:hAnsi="Calibri"/>
          <w:color w:val="000000"/>
        </w:rPr>
      </w:r>
    </w:p>
    <w:p>
      <w:pPr>
        <w:pStyle w:val="Normal"/>
        <w:numPr>
          <w:ilvl w:val="1"/>
          <w:numId w:val="1"/>
        </w:numPr>
        <w:ind w:left="0" w:hanging="0"/>
        <w:jc w:val="both"/>
        <w:rPr>
          <w:rFonts w:ascii="Calibri" w:hAnsi="Calibri"/>
        </w:rPr>
      </w:pPr>
      <w:r>
        <w:rPr>
          <w:rFonts w:ascii="Calibri" w:hAnsi="Calibri"/>
          <w:color w:val="C9211E"/>
        </w:rPr>
        <w:t>A execução do objeto seguirá a seguinte dinâmica:</w:t>
      </w:r>
      <w:r>
        <w:rPr>
          <w:rFonts w:ascii="Calibri" w:hAnsi="Calibri"/>
        </w:rPr>
        <w:t xml:space="preserve"> </w:t>
      </w:r>
    </w:p>
    <w:p>
      <w:pPr>
        <w:pStyle w:val="Normal"/>
        <w:jc w:val="both"/>
        <w:rPr>
          <w:rFonts w:ascii="Calibri" w:hAnsi="Calibri" w:cs="Calibri"/>
          <w:color w:val="000000"/>
        </w:rPr>
      </w:pPr>
      <w:r>
        <w:rPr>
          <w:rFonts w:cs="Calibri" w:ascii="Calibri" w:hAnsi="Calibri"/>
          <w:color w:val="000000"/>
        </w:rPr>
      </w:r>
    </w:p>
    <w:p>
      <w:pPr>
        <w:pStyle w:val="Normal"/>
        <w:ind w:left="754" w:hanging="0"/>
        <w:jc w:val="both"/>
        <w:rPr>
          <w:rFonts w:ascii="Calibri" w:hAnsi="Calibri" w:cs="Calibri"/>
          <w:b/>
          <w:b/>
          <w:bCs/>
          <w:color w:val="00000A"/>
          <w:u w:val="single"/>
        </w:rPr>
      </w:pPr>
      <w:r>
        <w:rPr>
          <w:rFonts w:cs="Calibri" w:ascii="Calibri" w:hAnsi="Calibri"/>
          <w:b/>
          <w:bCs/>
          <w:color w:val="00000A"/>
          <w:u w:val="single"/>
        </w:rPr>
        <w:t>DO RECEBIMENTO E DA ACEITAÇÃO</w:t>
      </w:r>
    </w:p>
    <w:p>
      <w:pPr>
        <w:pStyle w:val="Normal"/>
        <w:jc w:val="both"/>
        <w:rPr>
          <w:rFonts w:ascii="Calibri" w:hAnsi="Calibri" w:cs="Calibri"/>
          <w:color w:val="000000"/>
        </w:rPr>
      </w:pPr>
      <w:r>
        <w:rPr>
          <w:rFonts w:cs="Calibri" w:ascii="Calibri" w:hAnsi="Calibri"/>
          <w:color w:val="000000"/>
        </w:rPr>
      </w:r>
    </w:p>
    <w:p>
      <w:pPr>
        <w:pStyle w:val="Normal"/>
        <w:numPr>
          <w:ilvl w:val="1"/>
          <w:numId w:val="1"/>
        </w:numPr>
        <w:ind w:left="0" w:hanging="0"/>
        <w:jc w:val="both"/>
        <w:rPr>
          <w:color w:val="C9211E"/>
        </w:rPr>
      </w:pPr>
      <w:r>
        <w:rPr>
          <w:rFonts w:ascii="Calibri" w:hAnsi="Calibri"/>
          <w:color w:val="C9211E"/>
        </w:rPr>
        <w:t>Descrever a forma de aceitação e recebimento.</w:t>
      </w:r>
      <w:commentRangeEnd w:id="20"/>
      <w:r>
        <w:commentReference w:id="20"/>
      </w:r>
      <w:r>
        <w:rPr>
          <w:rFonts w:ascii="Calibri" w:hAnsi="Calibri"/>
          <w:color w:val="C9211E"/>
        </w:rPr>
      </w:r>
    </w:p>
    <w:p>
      <w:pPr>
        <w:pStyle w:val="Normal"/>
        <w:jc w:val="both"/>
        <w:rPr>
          <w:rFonts w:ascii="Calibri" w:hAnsi="Calibri" w:cs="Calibri"/>
          <w:color w:val="000000"/>
        </w:rPr>
      </w:pPr>
      <w:r>
        <w:rPr>
          <w:rFonts w:cs="Calibri" w:ascii="Calibri" w:hAnsi="Calibri"/>
          <w:color w:val="000000"/>
        </w:rPr>
      </w:r>
    </w:p>
    <w:p>
      <w:pPr>
        <w:pStyle w:val="Normal"/>
        <w:numPr>
          <w:ilvl w:val="0"/>
          <w:numId w:val="1"/>
        </w:numPr>
        <w:shd w:val="clear" w:color="auto" w:fill="38AB81"/>
        <w:jc w:val="both"/>
        <w:rPr>
          <w:rFonts w:ascii="Calibri" w:hAnsi="Calibri"/>
        </w:rPr>
      </w:pPr>
      <w:r>
        <w:rPr>
          <w:rFonts w:cs="Calibri" w:ascii="Calibri" w:hAnsi="Calibri"/>
          <w:b/>
          <w:bCs/>
          <w:color w:val="FFFFFF"/>
        </w:rPr>
        <w:t>Estimativa das Quantidades a Serem Contratadas: (IN 58/2022 SEGES, art. 9º, inciso V)</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Segue abaixo a demanda estimada para a contratação pretendida para o CREMERJ:</w:t>
      </w:r>
    </w:p>
    <w:p>
      <w:pPr>
        <w:pStyle w:val="Normal"/>
        <w:jc w:val="both"/>
        <w:rPr>
          <w:rFonts w:ascii="Calibri" w:hAnsi="Calibri"/>
        </w:rPr>
      </w:pPr>
      <w:r>
        <w:rPr>
          <w:rFonts w:ascii="Calibri" w:hAnsi="Calibri"/>
        </w:rPr>
      </w:r>
    </w:p>
    <w:tbl>
      <w:tblPr>
        <w:tblW w:w="9750" w:type="dxa"/>
        <w:jc w:val="left"/>
        <w:tblInd w:w="-5" w:type="dxa"/>
        <w:tblLayout w:type="fixed"/>
        <w:tblCellMar>
          <w:top w:w="55" w:type="dxa"/>
          <w:left w:w="4" w:type="dxa"/>
          <w:bottom w:w="55" w:type="dxa"/>
          <w:right w:w="55" w:type="dxa"/>
        </w:tblCellMar>
        <w:tblLook w:firstRow="0" w:noVBand="0" w:lastRow="0" w:firstColumn="0" w:lastColumn="0" w:noHBand="0" w:val="0000"/>
      </w:tblPr>
      <w:tblGrid>
        <w:gridCol w:w="663"/>
        <w:gridCol w:w="4428"/>
        <w:gridCol w:w="1695"/>
        <w:gridCol w:w="1700"/>
        <w:gridCol w:w="1264"/>
      </w:tblGrid>
      <w:tr>
        <w:trPr/>
        <w:tc>
          <w:tcPr>
            <w:tcW w:w="663"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ITEM</w:t>
            </w:r>
          </w:p>
        </w:tc>
        <w:tc>
          <w:tcPr>
            <w:tcW w:w="4428"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DESCRIÇÃO/ESPECIFICAÇÃO</w:t>
            </w:r>
          </w:p>
        </w:tc>
        <w:tc>
          <w:tcPr>
            <w:tcW w:w="1695"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CATSER</w:t>
            </w:r>
          </w:p>
        </w:tc>
        <w:tc>
          <w:tcPr>
            <w:tcW w:w="17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QUANTIDADE</w:t>
            </w:r>
          </w:p>
        </w:tc>
        <w:tc>
          <w:tcPr>
            <w:tcW w:w="1264"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UNIDADE</w:t>
            </w:r>
          </w:p>
        </w:tc>
      </w:tr>
      <w:tr>
        <w:trPr>
          <w:trHeight w:val="1005" w:hRule="atLeast"/>
        </w:trPr>
        <w:tc>
          <w:tcPr>
            <w:tcW w:w="663"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commentRangeStart w:id="21"/>
            <w:r>
              <w:rPr>
                <w:rFonts w:cs="Calibri" w:ascii="Calibri" w:hAnsi="Calibri" w:asciiTheme="minorHAnsi" w:cstheme="minorHAnsi" w:hAnsiTheme="minorHAnsi"/>
                <w:color w:val="C9211E"/>
                <w:sz w:val="20"/>
                <w:szCs w:val="20"/>
              </w:rPr>
              <w:t>01</w:t>
            </w:r>
          </w:p>
        </w:tc>
        <w:tc>
          <w:tcPr>
            <w:tcW w:w="4428" w:type="dxa"/>
            <w:tcBorders>
              <w:left w:val="single" w:sz="2" w:space="0" w:color="000001"/>
              <w:bottom w:val="single" w:sz="2" w:space="0" w:color="000001"/>
            </w:tcBorders>
            <w:shd w:color="auto" w:fill="FFFFFF" w:val="clear"/>
            <w:vAlign w:val="center"/>
          </w:tcPr>
          <w:p>
            <w:pPr>
              <w:pStyle w:val="Contedodatabela"/>
              <w:widowControl w:val="false"/>
              <w:jc w:val="both"/>
              <w:rPr>
                <w:color w:val="C9211E"/>
              </w:rPr>
            </w:pPr>
            <w:r>
              <w:rPr>
                <w:rFonts w:cs="Calibri" w:ascii="Calibri" w:hAnsi="Calibri"/>
                <w:color w:val="C9211E"/>
                <w:sz w:val="20"/>
                <w:szCs w:val="20"/>
              </w:rPr>
              <w:t>Descrição detalhada do item.</w:t>
            </w:r>
          </w:p>
          <w:p>
            <w:pPr>
              <w:pStyle w:val="Contedodatabela"/>
              <w:widowControl w:val="false"/>
              <w:jc w:val="both"/>
              <w:rPr>
                <w:color w:val="C9211E"/>
              </w:rPr>
            </w:pPr>
            <w:r>
              <w:rPr>
                <w:color w:val="C9211E"/>
              </w:rPr>
            </w:r>
          </w:p>
        </w:tc>
        <w:tc>
          <w:tcPr>
            <w:tcW w:w="1695"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0000</w:t>
            </w:r>
          </w:p>
        </w:tc>
        <w:tc>
          <w:tcPr>
            <w:tcW w:w="1700"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w:t>
            </w:r>
          </w:p>
        </w:tc>
        <w:tc>
          <w:tcPr>
            <w:tcW w:w="1264" w:type="dxa"/>
            <w:tcBorders>
              <w:left w:val="single" w:sz="2" w:space="0" w:color="000001"/>
              <w:bottom w:val="single" w:sz="2" w:space="0" w:color="000001"/>
              <w:right w:val="single" w:sz="2" w:space="0" w:color="000001"/>
            </w:tcBorders>
            <w:shd w:color="auto" w:fill="FFFFFF" w:val="clear"/>
            <w:vAlign w:val="center"/>
          </w:tcPr>
          <w:p>
            <w:pPr>
              <w:pStyle w:val="Contedodatabela"/>
              <w:widowControl w:val="false"/>
              <w:jc w:val="center"/>
              <w:rPr>
                <w:color w:val="C9211E"/>
              </w:rPr>
            </w:pPr>
            <w:r>
              <w:rPr>
                <w:rFonts w:ascii="Calibri" w:hAnsi="Calibri"/>
                <w:color w:val="C9211E"/>
                <w:sz w:val="20"/>
                <w:szCs w:val="20"/>
              </w:rPr>
              <w:t>Serviço</w:t>
            </w:r>
            <w:commentRangeEnd w:id="21"/>
            <w:r>
              <w:commentReference w:id="21"/>
            </w:r>
            <w:r>
              <w:rPr>
                <w:rFonts w:ascii="Calibri" w:hAnsi="Calibri"/>
                <w:color w:val="C9211E"/>
                <w:sz w:val="20"/>
                <w:szCs w:val="20"/>
              </w:rPr>
            </w:r>
          </w:p>
        </w:tc>
      </w:tr>
    </w:tbl>
    <w:p>
      <w:pPr>
        <w:pStyle w:val="Normal"/>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Estimativa do Valor da Contratação: (IN 58/2022 SEGES, art. 9º, inciso VI)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Para obter a estimativa de valor para a contratação, realizou-se pesquisa de preços, em atenção ao preceituado na legislação vigente. A pesquisa de preços, anexo I deste ETP, foi realizada nos temos da IN Seges/ME nº 65/2021, onde obtivemos os seguintes valores:</w:t>
      </w:r>
    </w:p>
    <w:p>
      <w:pPr>
        <w:pStyle w:val="Normal"/>
        <w:jc w:val="both"/>
        <w:rPr>
          <w:rFonts w:ascii="Calibri" w:hAnsi="Calibri"/>
        </w:rPr>
      </w:pPr>
      <w:r>
        <w:rPr>
          <w:rFonts w:ascii="Calibri" w:hAnsi="Calibri"/>
        </w:rPr>
      </w:r>
    </w:p>
    <w:p>
      <w:pPr>
        <w:pStyle w:val="Normal"/>
        <w:numPr>
          <w:ilvl w:val="1"/>
          <w:numId w:val="1"/>
        </w:numPr>
        <w:ind w:left="0" w:hanging="0"/>
        <w:jc w:val="both"/>
        <w:rPr>
          <w:highlight w:val="none"/>
          <w:shd w:fill="FFFF00" w:val="clear"/>
        </w:rPr>
      </w:pPr>
      <w:commentRangeStart w:id="22"/>
      <w:r>
        <w:rPr>
          <w:rFonts w:cs="Calibri" w:ascii="Calibri" w:hAnsi="Calibri"/>
          <w:color w:val="00000A"/>
          <w:shd w:fill="FFFF00" w:val="clear"/>
        </w:rPr>
        <w:t xml:space="preserve">O valor estimado global para </w:t>
      </w:r>
      <w:r>
        <w:rPr>
          <w:rFonts w:cs="Calibri" w:ascii="Calibri" w:hAnsi="Calibri"/>
          <w:color w:val="C9211E"/>
          <w:shd w:fill="FFFF00" w:val="clear"/>
        </w:rPr>
        <w:t>o(s) item(ns)/lote(s), é de R$ 0.000,00 (por_extenso)</w:t>
      </w:r>
      <w:r>
        <w:rPr>
          <w:rFonts w:cs="Calibri" w:ascii="Calibri" w:hAnsi="Calibri"/>
          <w:color w:val="00000A"/>
          <w:shd w:fill="FFFF00" w:val="clear"/>
        </w:rPr>
        <w:t>, conforme abaixo disposto.</w:t>
      </w:r>
      <w:commentRangeEnd w:id="22"/>
      <w:r>
        <w:commentReference w:id="22"/>
      </w:r>
      <w:r>
        <w:rPr>
          <w:rFonts w:cs="Calibri" w:ascii="Calibri" w:hAnsi="Calibri"/>
          <w:color w:val="00000A"/>
          <w:shd w:fill="FFFF00" w:val="clear"/>
        </w:rPr>
      </w:r>
    </w:p>
    <w:p>
      <w:pPr>
        <w:pStyle w:val="Normal"/>
        <w:jc w:val="both"/>
        <w:rPr>
          <w:rFonts w:ascii="Calibri" w:hAnsi="Calibri"/>
        </w:rPr>
      </w:pPr>
      <w:r>
        <w:rPr>
          <w:rFonts w:ascii="Calibri" w:hAnsi="Calibri"/>
        </w:rPr>
      </w:r>
    </w:p>
    <w:tbl>
      <w:tblPr>
        <w:tblW w:w="9751"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624"/>
        <w:gridCol w:w="6072"/>
        <w:gridCol w:w="1577"/>
        <w:gridCol w:w="1477"/>
      </w:tblGrid>
      <w:tr>
        <w:trPr/>
        <w:tc>
          <w:tcPr>
            <w:tcW w:w="624"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ITEM</w:t>
            </w:r>
          </w:p>
        </w:tc>
        <w:tc>
          <w:tcPr>
            <w:tcW w:w="6072"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DESCRIÇÃO/ESPECIFICAÇÃO</w:t>
            </w:r>
          </w:p>
        </w:tc>
        <w:tc>
          <w:tcPr>
            <w:tcW w:w="1577"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VALOR MENSAL ESTIMADO</w:t>
            </w:r>
          </w:p>
        </w:tc>
        <w:tc>
          <w:tcPr>
            <w:tcW w:w="1477"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VALOR ANUAL ESTIMADO</w:t>
            </w:r>
          </w:p>
        </w:tc>
      </w:tr>
      <w:tr>
        <w:trPr/>
        <w:tc>
          <w:tcPr>
            <w:tcW w:w="624" w:type="dxa"/>
            <w:tcBorders>
              <w:left w:val="single" w:sz="2" w:space="0" w:color="000000"/>
              <w:bottom w:val="single" w:sz="2" w:space="0" w:color="000000"/>
            </w:tcBorders>
            <w:vAlign w:val="center"/>
          </w:tcPr>
          <w:p>
            <w:pPr>
              <w:pStyle w:val="Contedodatabela"/>
              <w:widowControl w:val="false"/>
              <w:jc w:val="center"/>
              <w:rPr>
                <w:color w:val="C9211E"/>
              </w:rPr>
            </w:pPr>
            <w:r>
              <w:rPr>
                <w:rFonts w:cs="Calibri" w:ascii="Calibri" w:hAnsi="Calibri" w:asciiTheme="minorHAnsi" w:cstheme="minorHAnsi" w:hAnsiTheme="minorHAnsi"/>
                <w:color w:val="C9211E"/>
                <w:sz w:val="20"/>
                <w:szCs w:val="20"/>
              </w:rPr>
              <w:t>01</w:t>
            </w:r>
          </w:p>
        </w:tc>
        <w:tc>
          <w:tcPr>
            <w:tcW w:w="6072" w:type="dxa"/>
            <w:tcBorders>
              <w:left w:val="single" w:sz="2" w:space="0" w:color="000000"/>
              <w:bottom w:val="single" w:sz="2" w:space="0" w:color="000000"/>
            </w:tcBorders>
            <w:vAlign w:val="center"/>
          </w:tcPr>
          <w:p>
            <w:pPr>
              <w:pStyle w:val="Contedodatabela"/>
              <w:widowControl w:val="false"/>
              <w:jc w:val="both"/>
              <w:rPr>
                <w:color w:val="C9211E"/>
              </w:rPr>
            </w:pPr>
            <w:r>
              <w:rPr>
                <w:rFonts w:cs="Calibri" w:ascii="Calibri" w:hAnsi="Calibri"/>
                <w:color w:val="C9211E"/>
                <w:sz w:val="20"/>
                <w:szCs w:val="20"/>
              </w:rPr>
              <w:t>Descrição detalhada do item.</w:t>
            </w:r>
          </w:p>
        </w:tc>
        <w:tc>
          <w:tcPr>
            <w:tcW w:w="1577" w:type="dxa"/>
            <w:tcBorders>
              <w:left w:val="single" w:sz="2" w:space="0" w:color="000000"/>
              <w:bottom w:val="single" w:sz="2" w:space="0" w:color="000000"/>
            </w:tcBorders>
          </w:tcPr>
          <w:p>
            <w:pPr>
              <w:pStyle w:val="Contedodatabela"/>
              <w:widowControl w:val="false"/>
              <w:jc w:val="center"/>
              <w:rPr>
                <w:color w:val="C9211E"/>
              </w:rPr>
            </w:pPr>
            <w:r>
              <w:rPr>
                <w:rFonts w:cs="Calibri" w:ascii="Calibri" w:hAnsi="Calibri"/>
                <w:color w:val="C9211E"/>
                <w:sz w:val="20"/>
                <w:szCs w:val="20"/>
              </w:rPr>
              <w:t>R$ 00,00</w:t>
            </w:r>
          </w:p>
        </w:tc>
        <w:tc>
          <w:tcPr>
            <w:tcW w:w="1477" w:type="dxa"/>
            <w:tcBorders>
              <w:left w:val="single" w:sz="2" w:space="0" w:color="000000"/>
              <w:bottom w:val="single" w:sz="2" w:space="0" w:color="000000"/>
              <w:right w:val="single" w:sz="2" w:space="0" w:color="000000"/>
            </w:tcBorders>
          </w:tcPr>
          <w:p>
            <w:pPr>
              <w:pStyle w:val="Contedodatabela"/>
              <w:widowControl w:val="false"/>
              <w:jc w:val="center"/>
              <w:rPr>
                <w:color w:val="C9211E"/>
              </w:rPr>
            </w:pPr>
            <w:r>
              <w:rPr>
                <w:rFonts w:cs="Calibri" w:ascii="Calibri" w:hAnsi="Calibri"/>
                <w:color w:val="C9211E"/>
                <w:sz w:val="20"/>
                <w:szCs w:val="20"/>
              </w:rPr>
              <w:t>R$ 0.000,00</w:t>
            </w:r>
          </w:p>
        </w:tc>
      </w:tr>
      <w:tr>
        <w:trPr/>
        <w:tc>
          <w:tcPr>
            <w:tcW w:w="624" w:type="dxa"/>
            <w:tcBorders>
              <w:left w:val="single" w:sz="2" w:space="0" w:color="000000"/>
              <w:bottom w:val="single" w:sz="2" w:space="0" w:color="000000"/>
            </w:tcBorders>
            <w:vAlign w:val="center"/>
          </w:tcPr>
          <w:p>
            <w:pPr>
              <w:pStyle w:val="Contedodatabela"/>
              <w:widowControl w:val="false"/>
              <w:jc w:val="center"/>
              <w:rPr>
                <w:color w:val="C9211E"/>
              </w:rPr>
            </w:pPr>
            <w:r>
              <w:rPr>
                <w:color w:val="C9211E"/>
                <w:sz w:val="20"/>
                <w:szCs w:val="20"/>
              </w:rPr>
              <w:t>...</w:t>
            </w:r>
          </w:p>
        </w:tc>
        <w:tc>
          <w:tcPr>
            <w:tcW w:w="6072" w:type="dxa"/>
            <w:tcBorders>
              <w:left w:val="single" w:sz="2" w:space="0" w:color="000000"/>
              <w:bottom w:val="single" w:sz="2" w:space="0" w:color="000000"/>
            </w:tcBorders>
            <w:vAlign w:val="center"/>
          </w:tcPr>
          <w:p>
            <w:pPr>
              <w:pStyle w:val="Contedodatabela"/>
              <w:widowControl w:val="false"/>
              <w:jc w:val="both"/>
              <w:rPr>
                <w:color w:val="C9211E"/>
              </w:rPr>
            </w:pPr>
            <w:r>
              <w:rPr>
                <w:rFonts w:ascii="Calibri" w:hAnsi="Calibri"/>
                <w:color w:val="C9211E"/>
                <w:sz w:val="20"/>
                <w:szCs w:val="20"/>
              </w:rPr>
              <w:t>…</w:t>
            </w:r>
            <w:r>
              <w:rPr>
                <w:rFonts w:ascii="Calibri" w:hAnsi="Calibri"/>
                <w:color w:val="C9211E"/>
                <w:sz w:val="20"/>
                <w:szCs w:val="20"/>
              </w:rPr>
              <w:t>.</w:t>
            </w:r>
          </w:p>
        </w:tc>
        <w:tc>
          <w:tcPr>
            <w:tcW w:w="1577" w:type="dxa"/>
            <w:tcBorders>
              <w:left w:val="single" w:sz="2" w:space="0" w:color="000000"/>
              <w:bottom w:val="single" w:sz="2" w:space="0" w:color="000000"/>
            </w:tcBorders>
          </w:tcPr>
          <w:p>
            <w:pPr>
              <w:pStyle w:val="Contedodatabela"/>
              <w:widowControl w:val="false"/>
              <w:jc w:val="center"/>
              <w:rPr>
                <w:color w:val="C9211E"/>
              </w:rPr>
            </w:pPr>
            <w:r>
              <w:rPr>
                <w:rFonts w:cs="Calibri" w:ascii="Calibri" w:hAnsi="Calibri"/>
                <w:color w:val="C9211E"/>
                <w:sz w:val="20"/>
                <w:szCs w:val="20"/>
              </w:rPr>
              <w:t>R$ 00,00</w:t>
            </w:r>
          </w:p>
        </w:tc>
        <w:tc>
          <w:tcPr>
            <w:tcW w:w="1477" w:type="dxa"/>
            <w:tcBorders>
              <w:left w:val="single" w:sz="2" w:space="0" w:color="000000"/>
              <w:bottom w:val="single" w:sz="2" w:space="0" w:color="000000"/>
              <w:right w:val="single" w:sz="2" w:space="0" w:color="000000"/>
            </w:tcBorders>
          </w:tcPr>
          <w:p>
            <w:pPr>
              <w:pStyle w:val="Contedodatabela"/>
              <w:widowControl w:val="false"/>
              <w:jc w:val="center"/>
              <w:rPr>
                <w:color w:val="C9211E"/>
              </w:rPr>
            </w:pPr>
            <w:r>
              <w:rPr>
                <w:rFonts w:cs="Calibri" w:ascii="Calibri" w:hAnsi="Calibri"/>
                <w:color w:val="C9211E"/>
                <w:sz w:val="20"/>
                <w:szCs w:val="20"/>
              </w:rPr>
              <w:t>R$ 0.000,00</w:t>
            </w:r>
            <w:r>
              <w:rPr/>
              <w:commentReference w:id="23"/>
            </w:r>
          </w:p>
        </w:tc>
      </w:tr>
    </w:tbl>
    <w:p>
      <w:pPr>
        <w:pStyle w:val="Normal"/>
        <w:jc w:val="both"/>
        <w:rPr>
          <w:rFonts w:ascii="Calibri" w:hAnsi="Calibri"/>
        </w:rPr>
      </w:pPr>
      <w:r>
        <w:rPr>
          <w:rFonts w:ascii="Calibri" w:hAnsi="Calibri"/>
        </w:rPr>
      </w:r>
    </w:p>
    <w:p>
      <w:pPr>
        <w:pStyle w:val="Normal"/>
        <w:numPr>
          <w:ilvl w:val="2"/>
          <w:numId w:val="1"/>
        </w:numPr>
        <w:ind w:left="794" w:hanging="0"/>
        <w:jc w:val="both"/>
        <w:rPr>
          <w:rFonts w:ascii="Calibri" w:hAnsi="Calibri"/>
        </w:rPr>
      </w:pPr>
      <w:commentRangeStart w:id="24"/>
      <w:r>
        <w:rPr>
          <w:rFonts w:cs="Calibri" w:ascii="Calibri" w:hAnsi="Calibri"/>
          <w:color w:val="00000A"/>
        </w:rPr>
        <w:t>Os valores utilizados para a definição do custo estimado para o atendimento da demanda foram coletados com o auxílio da ferramenta Banco de Preços, estando estes disponíveis no relatório produzido e anexo a este ETP.</w:t>
      </w:r>
      <w:commentRangeEnd w:id="24"/>
      <w:r>
        <w:commentReference w:id="24"/>
      </w:r>
      <w:r>
        <w:rPr>
          <w:rFonts w:cs="Calibri" w:ascii="Calibri" w:hAnsi="Calibri"/>
          <w:color w:val="00000A"/>
        </w:rPr>
      </w:r>
    </w:p>
    <w:p>
      <w:pPr>
        <w:pStyle w:val="Normal"/>
        <w:numPr>
          <w:ilvl w:val="0"/>
          <w:numId w:val="0"/>
        </w:numPr>
        <w:ind w:left="794" w:hanging="0"/>
        <w:jc w:val="both"/>
        <w:rPr>
          <w:rFonts w:ascii="Calibri" w:hAnsi="Calibri"/>
        </w:rPr>
      </w:pPr>
      <w:r>
        <w:rPr>
          <w:rFonts w:ascii="Calibri" w:hAnsi="Calibri"/>
        </w:rPr>
      </w:r>
    </w:p>
    <w:p>
      <w:pPr>
        <w:pStyle w:val="Normal"/>
        <w:numPr>
          <w:ilvl w:val="2"/>
          <w:numId w:val="1"/>
        </w:numPr>
        <w:ind w:left="794" w:hanging="0"/>
        <w:jc w:val="both"/>
        <w:rPr>
          <w:rFonts w:ascii="Calibri" w:hAnsi="Calibri"/>
        </w:rPr>
      </w:pPr>
      <w:commentRangeStart w:id="25"/>
      <w:r>
        <w:rPr>
          <w:rFonts w:cs="Calibri" w:ascii="Calibri" w:hAnsi="Calibri"/>
          <w:color w:val="00000A"/>
          <w:shd w:fill="FFFF00" w:val="clear"/>
        </w:rPr>
        <w:t>Os valores utilizados para a definição do custo estimado para o atendimento da demanda foram coletados com a pesquisa direta com fornecedores encontrados com o auxílio da ferramenta Banco de Preços, estando estes disponíveis no relatório produzido e anexo a este ETP.</w:t>
      </w:r>
      <w:commentRangeEnd w:id="25"/>
      <w:r>
        <w:commentReference w:id="25"/>
      </w:r>
      <w:r>
        <w:rPr>
          <w:rFonts w:cs="Calibri" w:ascii="Calibri" w:hAnsi="Calibri"/>
          <w:color w:val="00000A"/>
          <w:shd w:fill="FFFF00" w:val="clear"/>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sz w:val="24"/>
          <w:szCs w:val="24"/>
        </w:rPr>
        <w:t>Justificativa para o Parcelamento ou não da Solução: (IN 58/2022 SEGES, art. 9º, inciso VII)</w:t>
      </w:r>
    </w:p>
    <w:p>
      <w:pPr>
        <w:pStyle w:val="Normal"/>
        <w:numPr>
          <w:ilvl w:val="0"/>
          <w:numId w:val="0"/>
        </w:numPr>
        <w:ind w:left="754" w:right="0" w:hanging="0"/>
        <w:jc w:val="both"/>
        <w:rPr>
          <w:rFonts w:ascii="Calibri" w:hAnsi="Calibri" w:cs="Calibri"/>
          <w:b w:val="false"/>
          <w:b w:val="false"/>
          <w:bCs w:val="false"/>
          <w:color w:val="auto"/>
          <w:sz w:val="24"/>
          <w:szCs w:val="24"/>
        </w:rPr>
      </w:pPr>
      <w:r>
        <w:rPr>
          <w:rFonts w:cs="Calibri" w:ascii="Calibri" w:hAnsi="Calibri"/>
          <w:b w:val="false"/>
          <w:bCs w:val="false"/>
          <w:color w:val="auto"/>
          <w:sz w:val="24"/>
          <w:szCs w:val="24"/>
        </w:rPr>
      </w:r>
    </w:p>
    <w:p>
      <w:pPr>
        <w:pStyle w:val="Normal"/>
        <w:numPr>
          <w:ilvl w:val="1"/>
          <w:numId w:val="1"/>
        </w:numPr>
        <w:ind w:left="0" w:hanging="0"/>
        <w:jc w:val="both"/>
        <w:rPr>
          <w:rFonts w:ascii="Calibri" w:hAnsi="Calibri"/>
        </w:rPr>
      </w:pPr>
      <w:commentRangeStart w:id="26"/>
      <w:r>
        <w:rPr>
          <w:rFonts w:cs="Calibri" w:ascii="Calibri" w:hAnsi="Calibri"/>
          <w:b w:val="false"/>
          <w:bCs w:val="false"/>
          <w:color w:val="FF0000"/>
        </w:rPr>
        <w:t xml:space="preserve">O objeto da contratação será composto por um </w:t>
      </w:r>
      <w:r>
        <w:rPr>
          <w:rFonts w:cs="Calibri" w:ascii="Calibri" w:hAnsi="Calibri"/>
          <w:b w:val="false"/>
          <w:bCs w:val="false"/>
          <w:color w:val="C9211E"/>
        </w:rPr>
        <w:t>item/lote</w:t>
      </w:r>
      <w:r>
        <w:rPr>
          <w:rFonts w:cs="Calibri" w:ascii="Calibri" w:hAnsi="Calibri"/>
          <w:b w:val="false"/>
          <w:bCs w:val="false"/>
          <w:color w:val="FF0000"/>
        </w:rPr>
        <w:t xml:space="preserve">, de preço total orçado pelo Cremerj no valor </w:t>
      </w:r>
      <w:r>
        <w:rPr>
          <w:rFonts w:cs="Calibri" w:ascii="Calibri" w:hAnsi="Calibri"/>
          <w:b w:val="false"/>
          <w:bCs w:val="false"/>
          <w:color w:val="C9211E"/>
        </w:rPr>
        <w:t>R$ 0.000,00 (valor por extenso)</w:t>
      </w:r>
      <w:r>
        <w:rPr>
          <w:rFonts w:cs="Calibri" w:ascii="Calibri" w:hAnsi="Calibri"/>
          <w:b w:val="false"/>
          <w:bCs w:val="false"/>
          <w:color w:val="FF0000"/>
        </w:rPr>
        <w:t xml:space="preserve">. Para fins de classificação, será considerado o </w:t>
      </w:r>
      <w:r>
        <w:rPr>
          <w:rFonts w:cs="Calibri" w:ascii="Calibri" w:hAnsi="Calibri"/>
          <w:b w:val="false"/>
          <w:bCs w:val="false"/>
          <w:color w:val="C9211E"/>
        </w:rPr>
        <w:t>menor preço/maior desconto</w:t>
      </w:r>
      <w:r>
        <w:rPr>
          <w:rFonts w:cs="Calibri" w:ascii="Calibri" w:hAnsi="Calibri"/>
          <w:b w:val="false"/>
          <w:bCs w:val="false"/>
          <w:color w:val="FF0000"/>
        </w:rPr>
        <w:t>.</w:t>
      </w:r>
      <w:commentRangeEnd w:id="26"/>
      <w:r>
        <w:commentReference w:id="26"/>
      </w:r>
      <w:r>
        <w:rPr>
          <w:rFonts w:cs="Calibri" w:ascii="Calibri" w:hAnsi="Calibri"/>
          <w:b w:val="false"/>
          <w:bCs w:val="false"/>
          <w:color w:val="FF0000"/>
        </w:rPr>
      </w:r>
    </w:p>
    <w:p>
      <w:pPr>
        <w:pStyle w:val="Normal"/>
        <w:numPr>
          <w:ilvl w:val="0"/>
          <w:numId w:val="0"/>
        </w:numPr>
        <w:ind w:left="794" w:right="0" w:hanging="0"/>
        <w:jc w:val="both"/>
        <w:rPr>
          <w:rFonts w:ascii="Calibri" w:hAnsi="Calibri"/>
          <w:color w:val="auto"/>
        </w:rPr>
      </w:pPr>
      <w:r>
        <w:rPr>
          <w:rFonts w:ascii="Calibri" w:hAnsi="Calibri"/>
          <w:color w:val="auto"/>
        </w:rPr>
      </w:r>
    </w:p>
    <w:p>
      <w:pPr>
        <w:pStyle w:val="Normal"/>
        <w:numPr>
          <w:ilvl w:val="1"/>
          <w:numId w:val="1"/>
        </w:numPr>
        <w:ind w:left="0" w:right="0" w:hanging="0"/>
        <w:jc w:val="both"/>
        <w:rPr>
          <w:color w:val="auto"/>
        </w:rPr>
      </w:pPr>
      <w:r>
        <w:rPr>
          <w:rFonts w:cs="Calibri" w:ascii="Calibri" w:hAnsi="Calibri"/>
          <w:b w:val="false"/>
          <w:bCs w:val="false"/>
          <w:color w:val="auto"/>
        </w:rPr>
        <w:t>Compete ao Cremerj buscar o menor dispêndio possível de recursos, assegurando a qualidade da aquisição e/ou da prestação do serviço, o que exige a escolha da solução mais adequada e eficiente dentre as diversas opções existentes já por ocasião da definição do objeto e das condições da contratação/aquisição, posto que é essa descrição que impulsiona a seleção da proposta mais vantajosa.</w:t>
      </w:r>
    </w:p>
    <w:p>
      <w:pPr>
        <w:pStyle w:val="Normal"/>
        <w:numPr>
          <w:ilvl w:val="0"/>
          <w:numId w:val="0"/>
        </w:numPr>
        <w:ind w:left="794" w:right="0" w:hanging="0"/>
        <w:jc w:val="both"/>
        <w:rPr>
          <w:rFonts w:ascii="Calibri" w:hAnsi="Calibri"/>
          <w:color w:val="auto"/>
        </w:rPr>
      </w:pPr>
      <w:r>
        <w:rPr>
          <w:rFonts w:ascii="Calibri" w:hAnsi="Calibri"/>
          <w:color w:val="auto"/>
        </w:rPr>
      </w:r>
    </w:p>
    <w:p>
      <w:pPr>
        <w:pStyle w:val="Normal"/>
        <w:numPr>
          <w:ilvl w:val="1"/>
          <w:numId w:val="1"/>
        </w:numPr>
        <w:ind w:left="0" w:right="0" w:hanging="0"/>
        <w:jc w:val="both"/>
        <w:rPr>
          <w:color w:val="auto"/>
        </w:rPr>
      </w:pPr>
      <w:r>
        <w:rPr>
          <w:rFonts w:cs="Calibri" w:ascii="Calibri" w:hAnsi="Calibri"/>
          <w:b w:val="false"/>
          <w:bCs w:val="false"/>
          <w:color w:val="auto"/>
        </w:rPr>
        <w:t>A partir dessas premissas é que se deve avaliar o parcelamento do objeto, sem esquecer que, a rigor, objetos divisíveis, complexos ou de naturezas distintas devem ser parcelados em itens independentes com vistas à ampliação da competitividade, propiciando, assim, que os fornecedores apresentem propostas individualizadas para cada um deles, de acordo com suas condições, e, igualmente, que o julgamento seja feito em relação a cada qual, o que usualmente resulta em preços mais vantajosos. O não parcelamento do objeto, seja para os fins da adoção de um objeto único ou mesmo do agrupamento de itens em lotes – que por óbvio devem guardar compatibilidade entre si, admitir julgamento com base em um mesmo critério e permitir execução por um mesmo fornecedor –, por sua vez, deve ser visto com cautela e exige justificativa adequada e consistente, já que ao menos em tese reduz a competitividade, na medida que impõe a cotação do global ou de todos os itens que compõem cada lote pelos particulares, e pode também não resultar na escolha da proposta efetivamente mais vantajosa, em virtude de o julgamento considerar o custo total do objeto ou de cada lote definido, conforme o caso, e não dos itens isolados. Bem por isso é que a decisão relativa à divisão ou não do objeto deve ser motivada em cada caso concreto e deve ser precedida de estudos do mercado específico ainda na fase interna da contratação, que evidenciem a vantagem sob a ótica técnica e/ou econômica.</w:t>
      </w:r>
    </w:p>
    <w:p>
      <w:pPr>
        <w:pStyle w:val="Normal"/>
        <w:numPr>
          <w:ilvl w:val="0"/>
          <w:numId w:val="0"/>
        </w:numPr>
        <w:ind w:left="794" w:right="0" w:hanging="0"/>
        <w:jc w:val="both"/>
        <w:rPr>
          <w:rFonts w:ascii="Calibri" w:hAnsi="Calibri"/>
          <w:color w:val="auto"/>
        </w:rPr>
      </w:pPr>
      <w:r>
        <w:rPr>
          <w:rFonts w:ascii="Calibri" w:hAnsi="Calibri"/>
          <w:color w:val="auto"/>
        </w:rPr>
      </w:r>
    </w:p>
    <w:p>
      <w:pPr>
        <w:pStyle w:val="Normal"/>
        <w:numPr>
          <w:ilvl w:val="1"/>
          <w:numId w:val="1"/>
        </w:numPr>
        <w:ind w:left="0" w:hanging="0"/>
        <w:jc w:val="both"/>
        <w:rPr>
          <w:rFonts w:ascii="Calibri" w:hAnsi="Calibri"/>
        </w:rPr>
      </w:pPr>
      <w:commentRangeStart w:id="27"/>
      <w:r>
        <w:rPr>
          <w:rFonts w:cs="Calibri" w:ascii="Calibri" w:hAnsi="Calibri"/>
          <w:b w:val="false"/>
          <w:bCs w:val="false"/>
          <w:color w:val="auto"/>
        </w:rPr>
        <w:t xml:space="preserve">Neste sentido, esclarecemos que nossa análise aponta para o </w:t>
      </w:r>
      <w:r>
        <w:rPr>
          <w:rFonts w:cs="Calibri" w:ascii="Calibri" w:hAnsi="Calibri"/>
          <w:b w:val="false"/>
          <w:bCs w:val="false"/>
          <w:color w:val="C9211E"/>
        </w:rPr>
        <w:t>NÃO PARCELAMENTO/PARCELAMENTO</w:t>
      </w:r>
      <w:r>
        <w:rPr>
          <w:rFonts w:cs="Calibri" w:ascii="Calibri" w:hAnsi="Calibri"/>
          <w:b w:val="false"/>
          <w:bCs w:val="false"/>
          <w:color w:val="auto"/>
        </w:rPr>
        <w:t xml:space="preserve"> do objeto. Uma vez que a aquisição ora proposta se trata de </w:t>
      </w:r>
      <w:r>
        <w:rPr>
          <w:rFonts w:cs="Calibri" w:ascii="Calibri" w:hAnsi="Calibri"/>
          <w:b w:val="false"/>
          <w:bCs w:val="false"/>
          <w:color w:val="C9211E"/>
        </w:rPr>
        <w:t>(um lote com três itens/único item/ xxx itens)</w:t>
      </w:r>
      <w:r>
        <w:rPr>
          <w:rFonts w:cs="Calibri" w:ascii="Calibri" w:hAnsi="Calibri"/>
          <w:b w:val="false"/>
          <w:bCs w:val="false"/>
          <w:color w:val="auto"/>
        </w:rPr>
        <w:t>, com especificações usuais de mercado e baixo valor monetário.</w:t>
      </w:r>
      <w:commentRangeEnd w:id="27"/>
      <w:r>
        <w:commentReference w:id="27"/>
      </w:r>
      <w:r>
        <w:rPr>
          <w:rFonts w:cs="Calibri" w:ascii="Calibri" w:hAnsi="Calibri"/>
          <w:b w:val="false"/>
          <w:bCs w:val="false"/>
          <w:color w:val="auto"/>
        </w:rPr>
      </w:r>
    </w:p>
    <w:p>
      <w:pPr>
        <w:pStyle w:val="Normal"/>
        <w:jc w:val="center"/>
        <w:rPr>
          <w:rFonts w:ascii="Calibri" w:hAnsi="Calibri" w:cs="Calibri"/>
          <w:b w:val="false"/>
          <w:b w:val="false"/>
          <w:bCs w:val="false"/>
        </w:rPr>
      </w:pPr>
      <w:r>
        <w:rPr>
          <w:rFonts w:cs="Calibri" w:ascii="Calibri" w:hAnsi="Calibri"/>
          <w:b w:val="false"/>
          <w:bCs w:val="false"/>
        </w:rPr>
      </w:r>
    </w:p>
    <w:p>
      <w:pPr>
        <w:pStyle w:val="Normal"/>
        <w:numPr>
          <w:ilvl w:val="0"/>
          <w:numId w:val="1"/>
        </w:numPr>
        <w:shd w:val="clear" w:color="auto" w:fill="38AB81"/>
        <w:jc w:val="both"/>
        <w:rPr>
          <w:rFonts w:ascii="Calibri" w:hAnsi="Calibri"/>
        </w:rPr>
      </w:pPr>
      <w:r>
        <w:rPr>
          <w:rFonts w:cs="Calibri" w:ascii="Calibri" w:hAnsi="Calibri"/>
          <w:b/>
          <w:bCs/>
          <w:color w:val="FFFFFF"/>
        </w:rPr>
        <w:t>Contratações correlatas e/ou interdependentes: (IN 58/2022 SEGES, art. 9º, inciso VIII)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commentRangeStart w:id="28"/>
      <w:r>
        <w:rPr>
          <w:rFonts w:cs="Calibri" w:ascii="Calibri" w:hAnsi="Calibri"/>
          <w:color w:val="000000"/>
        </w:rPr>
        <w:t>A contratação em tela visa a continuidade do fornecimento atualmente prestado através do Contrato</w:t>
      </w:r>
      <w:r>
        <w:rPr>
          <w:rFonts w:cs="Calibri" w:ascii="Calibri" w:hAnsi="Calibri"/>
          <w:color w:val="C9211E"/>
        </w:rPr>
        <w:t xml:space="preserve"> xx/20xx</w:t>
      </w:r>
      <w:r>
        <w:rPr>
          <w:rFonts w:cs="Calibri" w:ascii="Calibri" w:hAnsi="Calibri"/>
          <w:color w:val="000000"/>
        </w:rPr>
        <w:t xml:space="preserve">, Processo </w:t>
      </w:r>
      <w:r>
        <w:rPr>
          <w:rFonts w:cs="Calibri" w:ascii="Calibri" w:hAnsi="Calibri"/>
          <w:color w:val="C9211E"/>
        </w:rPr>
        <w:t>xx/20xx</w:t>
      </w:r>
      <w:r>
        <w:rPr>
          <w:rFonts w:cs="Calibri" w:ascii="Calibri" w:hAnsi="Calibri"/>
          <w:color w:val="000000"/>
        </w:rPr>
        <w:t>.</w:t>
      </w:r>
    </w:p>
    <w:p>
      <w:pPr>
        <w:pStyle w:val="Normal"/>
        <w:jc w:val="both"/>
        <w:rPr>
          <w:rFonts w:ascii="Calibri" w:hAnsi="Calibri"/>
        </w:rPr>
      </w:pPr>
      <w:r>
        <w:rPr>
          <w:rFonts w:ascii="Calibri" w:hAnsi="Calibri"/>
        </w:rPr>
        <w:t xml:space="preserve"> </w:t>
      </w:r>
      <w:r>
        <w:rPr>
          <w:rFonts w:ascii="Calibri" w:hAnsi="Calibri"/>
        </w:rPr>
        <w:t>Ou</w:t>
      </w:r>
    </w:p>
    <w:p>
      <w:pPr>
        <w:pStyle w:val="Normal"/>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color w:val="000000"/>
        </w:rPr>
        <w:t>Não existem contratações correlatas ou interdependentes.</w:t>
      </w:r>
      <w:commentRangeEnd w:id="28"/>
      <w:r>
        <w:commentReference w:id="28"/>
      </w:r>
      <w:r>
        <w:rPr>
          <w:rFonts w:cs="Calibri" w:ascii="Calibri" w:hAnsi="Calibri"/>
          <w:color w:val="000000"/>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Demonstração da previsão da contratação no plano de contratações anual: (IN 58/2022 SEGES, art. 9º, inciso IX)</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ascii="Calibri" w:hAnsi="Calibri"/>
          <w:color w:val="000000"/>
        </w:rPr>
        <w:t>A presente demanda encontra-se em conformidade com gerenciamento da área responsável pela solicitação, tendo seus custos projetados no Relatório Orçamentário Anual, referente ao Planejamento Estratégico do Conselho.</w:t>
      </w:r>
    </w:p>
    <w:p>
      <w:pPr>
        <w:pStyle w:val="Normal"/>
        <w:jc w:val="center"/>
        <w:rPr>
          <w:rFonts w:ascii="Calibri" w:hAnsi="Calibri" w:cs="Calibri"/>
          <w:b w:val="false"/>
          <w:b w:val="false"/>
          <w:bCs w:val="false"/>
        </w:rPr>
      </w:pPr>
      <w:r>
        <w:rPr>
          <w:rFonts w:cs="Calibri" w:ascii="Calibri" w:hAnsi="Calibri"/>
          <w:b w:val="false"/>
          <w:bCs w:val="false"/>
        </w:rPr>
      </w:r>
    </w:p>
    <w:p>
      <w:pPr>
        <w:pStyle w:val="Normal"/>
        <w:numPr>
          <w:ilvl w:val="0"/>
          <w:numId w:val="1"/>
        </w:numPr>
        <w:shd w:val="clear" w:color="auto" w:fill="38AB81"/>
        <w:jc w:val="both"/>
        <w:rPr>
          <w:rFonts w:ascii="Calibri" w:hAnsi="Calibri"/>
        </w:rPr>
      </w:pPr>
      <w:r>
        <w:rPr>
          <w:rFonts w:cs="Calibri" w:ascii="Calibri" w:hAnsi="Calibri"/>
          <w:b/>
          <w:bCs/>
          <w:color w:val="FFFFFF"/>
          <w:sz w:val="24"/>
          <w:szCs w:val="24"/>
        </w:rPr>
        <w:t>Demonstrativo dos resultados pretendidos: (IN 58/2022 SEGES, art. 9º, inciso X)</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1"/>
          <w:numId w:val="1"/>
        </w:numPr>
        <w:ind w:left="0" w:hanging="0"/>
        <w:jc w:val="both"/>
        <w:rPr>
          <w:rFonts w:ascii="Calibri" w:hAnsi="Calibri"/>
        </w:rPr>
      </w:pPr>
      <w:r>
        <w:rPr>
          <w:rFonts w:cs="Calibri" w:ascii="Calibri" w:hAnsi="Calibri"/>
          <w:color w:val="000000"/>
        </w:rPr>
        <w:t>Espera-se, com a aquisição em tela, o pleno atendimento das necessidades apontadas no item 2 deste estudo, assim como, a manutenção do cumprimento da missão institucional do Conselho, pois sem os materiais objeto desta aquisição as atividades administrativas serão deveras impactadas.</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t>ou</w:t>
      </w:r>
    </w:p>
    <w:p>
      <w:pPr>
        <w:pStyle w:val="Normal"/>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ascii="Calibri" w:hAnsi="Calibri"/>
          <w:color w:val="000000"/>
        </w:rPr>
        <w:t xml:space="preserve">Espera-se, com a aquisição em tela, o pleno atendimento das necessidades apontadas no item 2 deste estudo, assim como, a manutenção do cumprimento do disposto no Ato Administrativo nº </w:t>
      </w:r>
      <w:r>
        <w:rPr>
          <w:rFonts w:ascii="Calibri" w:hAnsi="Calibri"/>
          <w:color w:val="C9211E"/>
        </w:rPr>
        <w:t>xx/20xx</w:t>
      </w:r>
      <w:r>
        <w:rPr>
          <w:rFonts w:ascii="Calibri" w:hAnsi="Calibri"/>
          <w:color w:val="000000"/>
        </w:rPr>
        <w:t xml:space="preserve"> fixado por este Conselho.</w:t>
      </w:r>
      <w:r>
        <w:rPr/>
        <w:commentReference w:id="29"/>
      </w:r>
    </w:p>
    <w:p>
      <w:pPr>
        <w:pStyle w:val="Normal"/>
        <w:numPr>
          <w:ilvl w:val="0"/>
          <w:numId w:val="0"/>
        </w:numPr>
        <w:ind w:left="754" w:right="0" w:hanging="0"/>
        <w:jc w:val="both"/>
        <w:rPr>
          <w:rFonts w:ascii="Calibri" w:hAnsi="Calibri"/>
        </w:rPr>
      </w:pPr>
      <w:r>
        <w:rPr>
          <w:rFonts w:ascii="Calibri" w:hAnsi="Calibri"/>
        </w:rPr>
      </w:r>
    </w:p>
    <w:p>
      <w:pPr>
        <w:pStyle w:val="Normal"/>
        <w:numPr>
          <w:ilvl w:val="0"/>
          <w:numId w:val="1"/>
        </w:numPr>
        <w:shd w:val="clear" w:fill="38AB81"/>
        <w:jc w:val="both"/>
        <w:rPr>
          <w:rFonts w:ascii="Calibri" w:hAnsi="Calibri"/>
        </w:rPr>
      </w:pPr>
      <w:r>
        <w:rPr>
          <w:rFonts w:cs="Calibri" w:ascii="Calibri" w:hAnsi="Calibri"/>
          <w:b/>
          <w:bCs/>
          <w:color w:val="FFFFFF"/>
          <w:sz w:val="24"/>
          <w:szCs w:val="24"/>
        </w:rPr>
        <w:t>Providências a serem adotadas pela Administração previamente à celebração do contrato:(Lei 14.133, art. 18, § 1º, inciso X)</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1"/>
          <w:numId w:val="1"/>
        </w:numPr>
        <w:ind w:left="0" w:hanging="0"/>
        <w:jc w:val="both"/>
        <w:rPr>
          <w:rFonts w:ascii="Calibri" w:hAnsi="Calibri"/>
        </w:rPr>
      </w:pPr>
      <w:r>
        <w:rPr>
          <w:rFonts w:cs="Calibri" w:ascii="Calibri" w:hAnsi="Calibri"/>
          <w:color w:val="000000"/>
        </w:rPr>
        <w:t>Não há providências necessárias, pois os serviços são prestados por operadoras de telefonia móvel e internet móvel que não necessitam de estruturas físicas para serem fornecidos.</w:t>
      </w:r>
    </w:p>
    <w:p>
      <w:pPr>
        <w:pStyle w:val="Normal"/>
        <w:ind w:left="0" w:hanging="0"/>
        <w:jc w:val="both"/>
        <w:rPr>
          <w:rFonts w:ascii="Calibri" w:hAnsi="Calibri"/>
        </w:rPr>
      </w:pPr>
      <w:r>
        <w:rPr>
          <w:rFonts w:ascii="Calibri" w:hAnsi="Calibri"/>
        </w:rPr>
      </w:r>
    </w:p>
    <w:p>
      <w:pPr>
        <w:pStyle w:val="Normal"/>
        <w:ind w:left="0" w:hanging="0"/>
        <w:jc w:val="both"/>
        <w:rPr>
          <w:rFonts w:ascii="Calibri" w:hAnsi="Calibri"/>
        </w:rPr>
      </w:pPr>
      <w:r>
        <w:rPr>
          <w:rFonts w:cs="Calibri" w:ascii="Calibri" w:hAnsi="Calibri"/>
          <w:color w:val="000000"/>
        </w:rPr>
        <w:t>ou</w:t>
      </w:r>
    </w:p>
    <w:p>
      <w:pPr>
        <w:pStyle w:val="Normal"/>
        <w:ind w:left="0"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color w:val="000000"/>
        </w:rPr>
        <w:t>Para o correto acondicionamento dos produtos em tela serão necessárias as seguintes providências:</w:t>
      </w:r>
    </w:p>
    <w:p>
      <w:pPr>
        <w:pStyle w:val="Normal"/>
        <w:numPr>
          <w:ilvl w:val="0"/>
          <w:numId w:val="0"/>
        </w:numPr>
        <w:ind w:left="0" w:hanging="0"/>
        <w:jc w:val="both"/>
        <w:rPr>
          <w:rFonts w:ascii="Calibri" w:hAnsi="Calibri"/>
        </w:rPr>
      </w:pPr>
      <w:r>
        <w:rPr>
          <w:rFonts w:ascii="Calibri" w:hAnsi="Calibri"/>
        </w:rPr>
      </w:r>
    </w:p>
    <w:p>
      <w:pPr>
        <w:pStyle w:val="Normal"/>
        <w:widowControl/>
        <w:numPr>
          <w:ilvl w:val="2"/>
          <w:numId w:val="1"/>
        </w:numPr>
        <w:suppressAutoHyphens w:val="true"/>
        <w:overflowPunct w:val="false"/>
        <w:bidi w:val="0"/>
        <w:spacing w:before="0" w:after="0"/>
        <w:ind w:left="510" w:right="0" w:hanging="0"/>
        <w:jc w:val="both"/>
        <w:rPr>
          <w:rFonts w:ascii="Calibri" w:hAnsi="Calibri"/>
        </w:rPr>
      </w:pPr>
      <w:r>
        <w:rPr>
          <w:rFonts w:ascii="Calibri" w:hAnsi="Calibri"/>
          <w:color w:val="C9211E"/>
        </w:rPr>
        <w:t>Providência A;</w:t>
      </w:r>
    </w:p>
    <w:p>
      <w:pPr>
        <w:pStyle w:val="Normal"/>
        <w:widowControl/>
        <w:numPr>
          <w:ilvl w:val="2"/>
          <w:numId w:val="1"/>
        </w:numPr>
        <w:suppressAutoHyphens w:val="true"/>
        <w:overflowPunct w:val="false"/>
        <w:bidi w:val="0"/>
        <w:spacing w:before="0" w:after="0"/>
        <w:ind w:left="510" w:right="0" w:hanging="0"/>
        <w:jc w:val="both"/>
        <w:rPr>
          <w:rFonts w:ascii="Calibri" w:hAnsi="Calibri"/>
        </w:rPr>
      </w:pPr>
      <w:r>
        <w:rPr>
          <w:rFonts w:ascii="Calibri" w:hAnsi="Calibri"/>
          <w:color w:val="C9211E"/>
        </w:rPr>
        <w:t>Providência A;</w:t>
      </w:r>
      <w:r>
        <w:rPr/>
        <w:commentReference w:id="30"/>
      </w:r>
    </w:p>
    <w:p>
      <w:pPr>
        <w:pStyle w:val="Normal"/>
        <w:numPr>
          <w:ilvl w:val="0"/>
          <w:numId w:val="0"/>
        </w:numPr>
        <w:ind w:left="754" w:right="0" w:hanging="0"/>
        <w:jc w:val="both"/>
        <w:rPr>
          <w:rFonts w:ascii="Calibri" w:hAnsi="Calibri" w:cs="Calibri"/>
          <w:b w:val="false"/>
          <w:b w:val="false"/>
          <w:bCs w:val="false"/>
        </w:rPr>
      </w:pPr>
      <w:r>
        <w:rPr>
          <w:rFonts w:cs="Calibri" w:ascii="Calibri" w:hAnsi="Calibri"/>
          <w:b w:val="false"/>
          <w:bCs w:val="false"/>
        </w:rPr>
      </w:r>
    </w:p>
    <w:p>
      <w:pPr>
        <w:pStyle w:val="Normal"/>
        <w:numPr>
          <w:ilvl w:val="0"/>
          <w:numId w:val="1"/>
        </w:numPr>
        <w:shd w:val="clear" w:color="auto" w:fill="38AB81"/>
        <w:jc w:val="both"/>
        <w:rPr>
          <w:rFonts w:ascii="Calibri" w:hAnsi="Calibri"/>
        </w:rPr>
      </w:pPr>
      <w:r>
        <w:rPr>
          <w:rFonts w:cs="Calibri" w:ascii="Calibri" w:hAnsi="Calibri"/>
          <w:b/>
          <w:bCs/>
          <w:color w:val="FFFFFF"/>
        </w:rPr>
        <w:t>Descrição de possíveis impactos ambientais e respectivas medidas mitigadoras: (IN 58/2022 SEGES, art. 9º, inciso XII)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A aquisição do objeto deste estudo obedecerá aos critérios de sustentabilidade ambiental contidos no Guia Nacional de Contrações Sustentáveis, no que couber.</w:t>
      </w:r>
    </w:p>
    <w:p>
      <w:pPr>
        <w:pStyle w:val="Normal"/>
        <w:jc w:val="both"/>
        <w:rPr>
          <w:rFonts w:cs="Calibri"/>
          <w:color w:val="000000"/>
        </w:rPr>
      </w:pPr>
      <w:r>
        <w:rPr>
          <w:rFonts w:cs="Calibri"/>
          <w:color w:val="000000"/>
        </w:rPr>
      </w:r>
    </w:p>
    <w:p>
      <w:pPr>
        <w:pStyle w:val="Normal"/>
        <w:jc w:val="both"/>
        <w:rPr>
          <w:rFonts w:cs="Calibri"/>
          <w:color w:val="000000"/>
        </w:rPr>
      </w:pPr>
      <w:r>
        <w:rPr>
          <w:rFonts w:cs="Calibri"/>
          <w:color w:val="000000"/>
        </w:rPr>
      </w:r>
    </w:p>
    <w:p>
      <w:pPr>
        <w:pStyle w:val="Normal"/>
        <w:jc w:val="both"/>
        <w:rPr>
          <w:rFonts w:cs="Calibri"/>
          <w:color w:val="000000"/>
        </w:rPr>
      </w:pPr>
      <w:r>
        <w:rPr>
          <w:rFonts w:cs="Calibri"/>
          <w:color w:val="000000"/>
        </w:rPr>
      </w:r>
    </w:p>
    <w:p>
      <w:pPr>
        <w:pStyle w:val="Normal"/>
        <w:jc w:val="both"/>
        <w:rPr>
          <w:rFonts w:cs="Calibri"/>
          <w:color w:val="000000"/>
        </w:rPr>
      </w:pPr>
      <w:r>
        <w:rPr>
          <w:rFonts w:cs="Calibri"/>
          <w:color w:val="000000"/>
        </w:rPr>
      </w:r>
    </w:p>
    <w:p>
      <w:pPr>
        <w:pStyle w:val="Normal"/>
        <w:jc w:val="both"/>
        <w:rPr>
          <w:rFonts w:cs="Calibri"/>
          <w:color w:val="000000"/>
        </w:rPr>
      </w:pPr>
      <w:r>
        <w:rPr>
          <w:rFonts w:cs="Calibri"/>
          <w:color w:val="000000"/>
        </w:rPr>
      </w:r>
    </w:p>
    <w:p>
      <w:pPr>
        <w:pStyle w:val="Normal"/>
        <w:numPr>
          <w:ilvl w:val="0"/>
          <w:numId w:val="1"/>
        </w:numPr>
        <w:shd w:val="clear" w:color="auto" w:fill="38AB81"/>
        <w:jc w:val="both"/>
        <w:rPr>
          <w:rFonts w:ascii="Calibri" w:hAnsi="Calibri"/>
        </w:rPr>
      </w:pPr>
      <w:r>
        <w:rPr>
          <w:rFonts w:cs="Calibri" w:ascii="Calibri" w:hAnsi="Calibri"/>
          <w:b/>
          <w:bCs/>
          <w:color w:val="FFFFFF"/>
        </w:rPr>
        <w:t>Posicionamento conclusivo da Equipe de Planejamento pela Elaboração e Conteúdo do Documento: (IN 58/2022 SEGES, art. 9º, inciso XIII)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Certificamos que somos responsáveis pela elaboração do presente documento que materializa os Estudos Técnicos Preliminares da presente contratação e que o mesmo está em conformidade com a legislação vigente.</w:t>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ascii="Calibri" w:hAnsi="Calibri"/>
          <w:color w:val="00000A"/>
        </w:rPr>
        <w:t>Certificamos ainda que a contratação do objeto em tela, nos moldes estipulados, é adequada para atender a necessidade abordada neste ETP.</w:t>
      </w:r>
    </w:p>
    <w:p>
      <w:pPr>
        <w:pStyle w:val="Normal"/>
        <w:jc w:val="both"/>
        <w:rPr>
          <w:rFonts w:ascii="Calibri" w:hAnsi="Calibri" w:cs="Calibri"/>
          <w:b w:val="false"/>
          <w:b w:val="false"/>
          <w:bCs w:val="false"/>
        </w:rPr>
      </w:pPr>
      <w:r>
        <w:rPr>
          <w:rFonts w:cs="Calibri" w:ascii="Calibri" w:hAnsi="Calibri"/>
          <w:b w:val="false"/>
          <w:bCs w:val="false"/>
        </w:rPr>
      </w:r>
    </w:p>
    <w:p>
      <w:pPr>
        <w:pStyle w:val="Normal"/>
        <w:numPr>
          <w:ilvl w:val="0"/>
          <w:numId w:val="1"/>
        </w:numPr>
        <w:shd w:val="clear" w:fill="38AB81"/>
        <w:jc w:val="both"/>
        <w:rPr>
          <w:rFonts w:ascii="Calibri" w:hAnsi="Calibri"/>
        </w:rPr>
      </w:pPr>
      <w:r>
        <w:rPr>
          <w:rFonts w:cs="Calibri" w:ascii="Calibri" w:hAnsi="Calibri"/>
          <w:b/>
          <w:bCs/>
          <w:color w:val="FFFFFF"/>
          <w:sz w:val="24"/>
          <w:szCs w:val="24"/>
        </w:rPr>
        <w:t xml:space="preserve"> </w:t>
      </w:r>
      <w:r>
        <w:rPr>
          <w:rFonts w:cs="Calibri" w:ascii="Calibri" w:hAnsi="Calibri"/>
          <w:b/>
          <w:bCs/>
          <w:color w:val="FFFFFF"/>
          <w:sz w:val="24"/>
          <w:szCs w:val="24"/>
        </w:rPr>
        <w:t>Declaração da Viabilidade:</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1"/>
          <w:numId w:val="1"/>
        </w:numPr>
        <w:ind w:left="0" w:right="0" w:hanging="0"/>
        <w:jc w:val="both"/>
        <w:rPr>
          <w:rFonts w:ascii="Calibri" w:hAnsi="Calibri"/>
          <w:color w:val="C9211E"/>
        </w:rPr>
      </w:pPr>
      <w:r>
        <w:rPr>
          <w:rFonts w:cs="Calibri" w:ascii="Calibri" w:hAnsi="Calibri"/>
          <w:b w:val="false"/>
          <w:bCs w:val="false"/>
          <w:color w:val="C9211E"/>
        </w:rPr>
        <w:t>A equipe de planejamento declara viável esta contratação com base neste Estudo Técnico Preliminar.</w:t>
      </w:r>
    </w:p>
    <w:p>
      <w:pPr>
        <w:pStyle w:val="Normal"/>
        <w:ind w:left="0" w:right="0" w:hanging="0"/>
        <w:jc w:val="both"/>
        <w:rPr>
          <w:rFonts w:ascii="Calibri" w:hAnsi="Calibri" w:cs="Calibri"/>
          <w:b w:val="false"/>
          <w:b w:val="false"/>
          <w:bCs w:val="false"/>
          <w:color w:val="C9211E"/>
        </w:rPr>
      </w:pPr>
      <w:r>
        <w:rPr>
          <w:rFonts w:cs="Calibri" w:ascii="Calibri" w:hAnsi="Calibri"/>
          <w:b w:val="false"/>
          <w:bCs w:val="false"/>
          <w:color w:val="C9211E"/>
        </w:rPr>
      </w:r>
    </w:p>
    <w:p>
      <w:pPr>
        <w:pStyle w:val="Normal"/>
        <w:ind w:left="0" w:right="0" w:hanging="0"/>
        <w:jc w:val="both"/>
        <w:rPr>
          <w:rFonts w:ascii="Calibri" w:hAnsi="Calibri"/>
          <w:color w:val="C9211E"/>
        </w:rPr>
      </w:pPr>
      <w:r>
        <w:rPr>
          <w:rFonts w:cs="Calibri" w:ascii="Calibri" w:hAnsi="Calibri"/>
          <w:b w:val="false"/>
          <w:bCs w:val="false"/>
          <w:color w:val="C9211E"/>
        </w:rPr>
        <w:t>ou</w:t>
      </w:r>
    </w:p>
    <w:p>
      <w:pPr>
        <w:pStyle w:val="Normal"/>
        <w:ind w:left="0" w:right="0" w:hanging="0"/>
        <w:jc w:val="both"/>
        <w:rPr>
          <w:rFonts w:ascii="Calibri" w:hAnsi="Calibri" w:cs="Calibri"/>
          <w:b w:val="false"/>
          <w:b w:val="false"/>
          <w:bCs w:val="false"/>
          <w:color w:val="C9211E"/>
        </w:rPr>
      </w:pPr>
      <w:r>
        <w:rPr>
          <w:rFonts w:cs="Calibri" w:ascii="Calibri" w:hAnsi="Calibri"/>
          <w:b w:val="false"/>
          <w:bCs w:val="false"/>
          <w:color w:val="C9211E"/>
        </w:rPr>
      </w:r>
    </w:p>
    <w:p>
      <w:pPr>
        <w:pStyle w:val="Normal"/>
        <w:numPr>
          <w:ilvl w:val="1"/>
          <w:numId w:val="1"/>
        </w:numPr>
        <w:ind w:left="0" w:right="0" w:hanging="0"/>
        <w:jc w:val="both"/>
        <w:rPr>
          <w:rFonts w:ascii="Calibri" w:hAnsi="Calibri"/>
          <w:color w:val="C9211E"/>
        </w:rPr>
      </w:pPr>
      <w:r>
        <w:rPr>
          <w:rFonts w:cs="Calibri" w:ascii="Calibri" w:hAnsi="Calibri"/>
          <w:b w:val="false"/>
          <w:bCs w:val="false"/>
          <w:color w:val="C9211E"/>
        </w:rPr>
        <w:t>A equipe de planejamento declara inviável esta contratação com base neste Estudo Técnico Preliminar.</w:t>
      </w:r>
    </w:p>
    <w:p>
      <w:pPr>
        <w:pStyle w:val="Normal"/>
        <w:jc w:val="center"/>
        <w:rPr>
          <w:rFonts w:ascii="Calibri" w:hAnsi="Calibri" w:cs="Calibri"/>
          <w:b w:val="false"/>
          <w:b w:val="false"/>
          <w:bCs w:val="false"/>
        </w:rPr>
      </w:pPr>
      <w:r>
        <w:rPr>
          <w:rFonts w:cs="Calibri" w:ascii="Calibri" w:hAnsi="Calibri"/>
          <w:b w:val="false"/>
          <w:bCs w:val="false"/>
        </w:rPr>
      </w:r>
    </w:p>
    <w:p>
      <w:pPr>
        <w:pStyle w:val="Normal"/>
        <w:numPr>
          <w:ilvl w:val="0"/>
          <w:numId w:val="1"/>
        </w:numPr>
        <w:shd w:val="clear" w:fill="38AB81"/>
        <w:jc w:val="both"/>
        <w:rPr>
          <w:rFonts w:ascii="Calibri" w:hAnsi="Calibri"/>
        </w:rPr>
      </w:pPr>
      <w:r>
        <w:rPr>
          <w:rFonts w:cs="Calibri" w:ascii="Calibri" w:hAnsi="Calibri"/>
          <w:b/>
          <w:bCs/>
          <w:color w:val="FFFFFF"/>
          <w:sz w:val="24"/>
          <w:szCs w:val="24"/>
        </w:rPr>
        <w:t>Do Acesso às Informações contidas nos presentes Estudos Preliminares:</w:t>
      </w:r>
    </w:p>
    <w:p>
      <w:pPr>
        <w:pStyle w:val="Normal"/>
        <w:numPr>
          <w:ilvl w:val="0"/>
          <w:numId w:val="0"/>
        </w:numPr>
        <w:ind w:left="754" w:right="0" w:hanging="0"/>
        <w:jc w:val="both"/>
        <w:rPr>
          <w:rFonts w:ascii="Calibri" w:hAnsi="Calibri" w:cs="Calibri"/>
          <w:b w:val="false"/>
          <w:b w:val="false"/>
          <w:bCs w:val="false"/>
          <w:color w:val="00000A"/>
          <w:sz w:val="24"/>
          <w:szCs w:val="24"/>
        </w:rPr>
      </w:pPr>
      <w:r>
        <w:rPr>
          <w:rFonts w:cs="Calibri" w:ascii="Calibri" w:hAnsi="Calibri"/>
          <w:b w:val="false"/>
          <w:bCs w:val="false"/>
          <w:color w:val="00000A"/>
          <w:sz w:val="24"/>
          <w:szCs w:val="24"/>
        </w:rPr>
      </w:r>
    </w:p>
    <w:p>
      <w:pPr>
        <w:pStyle w:val="Normal"/>
        <w:numPr>
          <w:ilvl w:val="1"/>
          <w:numId w:val="1"/>
        </w:numPr>
        <w:ind w:left="0" w:right="0" w:hanging="0"/>
        <w:jc w:val="both"/>
        <w:rPr>
          <w:rFonts w:ascii="Calibri" w:hAnsi="Calibri"/>
          <w:color w:val="C9211E"/>
        </w:rPr>
      </w:pPr>
      <w:r>
        <w:rPr>
          <w:rFonts w:cs="Calibri" w:ascii="Calibri" w:hAnsi="Calibri"/>
          <w:b w:val="false"/>
          <w:bCs w:val="false"/>
          <w:color w:val="C9211E"/>
        </w:rPr>
        <w:t>Nos termos da Lei nº 12.527, de 18 de novembro de 2011, esta Equipe de Planejamento entende que as informações contidas nos presentes Estudos Preliminares DEVERÃO ESTAR DISPONÍVEIS para qualquer interessado, pois não se caracterizam como sigilosas.</w:t>
      </w:r>
    </w:p>
    <w:p>
      <w:pPr>
        <w:pStyle w:val="Normal"/>
        <w:numPr>
          <w:ilvl w:val="0"/>
          <w:numId w:val="0"/>
        </w:numPr>
        <w:ind w:left="754" w:right="0" w:hanging="0"/>
        <w:jc w:val="both"/>
        <w:rPr>
          <w:rFonts w:ascii="Calibri" w:hAnsi="Calibri" w:cs="Calibri"/>
          <w:b w:val="false"/>
          <w:b w:val="false"/>
          <w:bCs w:val="false"/>
          <w:color w:val="C9211E"/>
        </w:rPr>
      </w:pPr>
      <w:r>
        <w:rPr>
          <w:rFonts w:cs="Calibri" w:ascii="Calibri" w:hAnsi="Calibri"/>
          <w:b w:val="false"/>
          <w:bCs w:val="false"/>
          <w:color w:val="C9211E"/>
        </w:rPr>
      </w:r>
    </w:p>
    <w:p>
      <w:pPr>
        <w:pStyle w:val="Normal"/>
        <w:numPr>
          <w:ilvl w:val="0"/>
          <w:numId w:val="0"/>
        </w:numPr>
        <w:ind w:left="754" w:right="0" w:hanging="0"/>
        <w:jc w:val="both"/>
        <w:rPr>
          <w:rFonts w:ascii="Calibri" w:hAnsi="Calibri"/>
          <w:color w:val="C9211E"/>
        </w:rPr>
      </w:pPr>
      <w:r>
        <w:rPr>
          <w:rFonts w:cs="Calibri" w:ascii="Calibri" w:hAnsi="Calibri"/>
          <w:b w:val="false"/>
          <w:bCs w:val="false"/>
          <w:color w:val="C9211E"/>
        </w:rPr>
        <w:t>ou</w:t>
      </w:r>
    </w:p>
    <w:p>
      <w:pPr>
        <w:pStyle w:val="Normal"/>
        <w:numPr>
          <w:ilvl w:val="0"/>
          <w:numId w:val="0"/>
        </w:numPr>
        <w:ind w:left="754" w:right="0" w:hanging="0"/>
        <w:jc w:val="both"/>
        <w:rPr>
          <w:rFonts w:ascii="Calibri" w:hAnsi="Calibri" w:cs="Calibri"/>
          <w:b w:val="false"/>
          <w:b w:val="false"/>
          <w:bCs w:val="false"/>
          <w:color w:val="C9211E"/>
        </w:rPr>
      </w:pPr>
      <w:r>
        <w:rPr>
          <w:rFonts w:cs="Calibri" w:ascii="Calibri" w:hAnsi="Calibri"/>
          <w:b w:val="false"/>
          <w:bCs w:val="false"/>
          <w:color w:val="C9211E"/>
        </w:rPr>
      </w:r>
    </w:p>
    <w:p>
      <w:pPr>
        <w:pStyle w:val="Normal"/>
        <w:numPr>
          <w:ilvl w:val="1"/>
          <w:numId w:val="1"/>
        </w:numPr>
        <w:ind w:left="0" w:right="0" w:hanging="0"/>
        <w:jc w:val="both"/>
        <w:rPr>
          <w:rFonts w:ascii="Calibri" w:hAnsi="Calibri" w:cs="Calibri"/>
          <w:b w:val="false"/>
          <w:b w:val="false"/>
          <w:bCs w:val="false"/>
          <w:color w:val="C9211E"/>
        </w:rPr>
      </w:pPr>
      <w:r>
        <w:rPr>
          <w:rFonts w:cs="Calibri" w:ascii="Calibri" w:hAnsi="Calibri"/>
          <w:b w:val="false"/>
          <w:bCs w:val="false"/>
          <w:color w:val="C9211E"/>
        </w:rPr>
        <w:t>Nos termos da Lei nº 12.527, de 18 de novembro de 2011, esta Equipe de Planejamento entende que as informações contidas nos presentes Estudos Preliminares ASSUMEM CARÁTER SIGILOSO, nos termos do Art. 23 da Lei nº 12.527/2011, e, portanto, deverão ter acesso restrito.</w:t>
      </w:r>
    </w:p>
    <w:p>
      <w:pPr>
        <w:pStyle w:val="Normal"/>
        <w:jc w:val="center"/>
        <w:rPr>
          <w:rFonts w:ascii="Calibri" w:hAnsi="Calibri" w:cs="Calibri"/>
          <w:b w:val="false"/>
          <w:b w:val="false"/>
          <w:bCs w:val="false"/>
        </w:rPr>
      </w:pPr>
      <w:r>
        <w:rPr>
          <w:rFonts w:cs="Calibri" w:ascii="Calibri" w:hAnsi="Calibri"/>
          <w:b w:val="false"/>
          <w:bCs w:val="false"/>
        </w:rPr>
      </w:r>
    </w:p>
    <w:p>
      <w:pPr>
        <w:pStyle w:val="Contedodatabela"/>
        <w:widowControl w:val="false"/>
        <w:jc w:val="right"/>
        <w:rPr>
          <w:rFonts w:ascii="Calibri" w:hAnsi="Calibri" w:cs="Calibri"/>
          <w:b w:val="false"/>
          <w:b w:val="false"/>
          <w:bCs w:val="false"/>
          <w:color w:val="000000"/>
        </w:rPr>
      </w:pPr>
      <w:commentRangeStart w:id="31"/>
      <w:r>
        <w:rPr>
          <w:rFonts w:cs="Calibri" w:ascii="Calibri" w:hAnsi="Calibri"/>
          <w:b w:val="false"/>
          <w:bCs w:val="false"/>
          <w:color w:val="000000"/>
        </w:rPr>
        <w:t xml:space="preserve">Rio de Janeiro, </w:t>
      </w:r>
      <w:r>
        <w:rPr>
          <w:rFonts w:cs="Calibri" w:ascii="Calibri" w:hAnsi="Calibri"/>
          <w:b w:val="false"/>
          <w:bCs w:val="false"/>
          <w:color w:val="C9211E"/>
        </w:rPr>
        <w:t>xx</w:t>
      </w:r>
      <w:r>
        <w:rPr>
          <w:rFonts w:cs="Calibri" w:ascii="Calibri" w:hAnsi="Calibri"/>
          <w:b w:val="false"/>
          <w:bCs w:val="false"/>
          <w:color w:val="000000"/>
          <w:shd w:fill="auto" w:val="clear"/>
        </w:rPr>
        <w:t xml:space="preserve"> de </w:t>
      </w:r>
      <w:r>
        <w:rPr>
          <w:rFonts w:cs="Calibri" w:ascii="Calibri" w:hAnsi="Calibri"/>
          <w:b w:val="false"/>
          <w:bCs w:val="false"/>
          <w:color w:val="C9211E"/>
          <w:shd w:fill="auto" w:val="clear"/>
        </w:rPr>
        <w:t>xxxxxx</w:t>
      </w:r>
      <w:r>
        <w:rPr>
          <w:rFonts w:cs="Calibri" w:ascii="Calibri" w:hAnsi="Calibri"/>
          <w:b w:val="false"/>
          <w:bCs w:val="false"/>
          <w:color w:val="000000"/>
        </w:rPr>
        <w:t xml:space="preserve"> de </w:t>
      </w:r>
      <w:r>
        <w:rPr>
          <w:rFonts w:cs="Calibri" w:ascii="Calibri" w:hAnsi="Calibri"/>
          <w:b w:val="false"/>
          <w:bCs w:val="false"/>
          <w:color w:val="C9211E"/>
        </w:rPr>
        <w:t>20xx</w:t>
      </w:r>
      <w:r>
        <w:rPr>
          <w:rFonts w:cs="Calibri" w:ascii="Calibri" w:hAnsi="Calibri"/>
          <w:b w:val="false"/>
          <w:bCs w:val="false"/>
          <w:color w:val="000000"/>
        </w:rPr>
        <w:t>.</w:t>
      </w:r>
      <w:commentRangeEnd w:id="31"/>
      <w:r>
        <w:commentReference w:id="31"/>
      </w:r>
      <w:r>
        <w:rPr>
          <w:rFonts w:cs="Calibri" w:ascii="Calibri" w:hAnsi="Calibri"/>
          <w:b w:val="false"/>
          <w:bCs w:val="false"/>
          <w:color w:val="000000"/>
        </w:rPr>
      </w:r>
    </w:p>
    <w:p>
      <w:pPr>
        <w:pStyle w:val="Normal"/>
        <w:jc w:val="center"/>
        <w:rPr>
          <w:rFonts w:ascii="Calibri" w:hAnsi="Calibri" w:cs="Calibri"/>
          <w:b/>
          <w:b/>
        </w:rPr>
      </w:pPr>
      <w:r>
        <w:rPr>
          <w:rFonts w:cs="Calibri" w:ascii="Calibri" w:hAnsi="Calibri"/>
          <w:b/>
        </w:rPr>
      </w:r>
    </w:p>
    <w:tbl>
      <w:tblPr>
        <w:tblW w:w="9752" w:type="dxa"/>
        <w:jc w:val="center"/>
        <w:tblInd w:w="0" w:type="dxa"/>
        <w:tblLayout w:type="fixed"/>
        <w:tblCellMar>
          <w:top w:w="55" w:type="dxa"/>
          <w:left w:w="55" w:type="dxa"/>
          <w:bottom w:w="55" w:type="dxa"/>
          <w:right w:w="55" w:type="dxa"/>
        </w:tblCellMar>
      </w:tblPr>
      <w:tblGrid>
        <w:gridCol w:w="4869"/>
        <w:gridCol w:w="4882"/>
      </w:tblGrid>
      <w:tr>
        <w:trPr>
          <w:trHeight w:val="1851" w:hRule="atLeast"/>
        </w:trPr>
        <w:tc>
          <w:tcPr>
            <w:tcW w:w="4869"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commentRangeStart w:id="32"/>
            <w:r>
              <w:rPr>
                <w:rFonts w:cs="Calibri" w:ascii="Calibri" w:hAnsi="Calibri"/>
              </w:rPr>
            </w:r>
          </w:p>
          <w:p>
            <w:pPr>
              <w:pStyle w:val="Contedodatabela"/>
              <w:widowControl w:val="false"/>
              <w:jc w:val="center"/>
              <w:rPr>
                <w:rFonts w:ascii="Calibri" w:hAnsi="Calibri" w:cs="Calibri"/>
              </w:rPr>
            </w:pPr>
            <w:r>
              <w:rPr>
                <w:rFonts w:cs="Calibri" w:ascii="Calibri" w:hAnsi="Calibri"/>
              </w:rPr>
              <w:t>_________________________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i w:val="false"/>
                <w:caps w:val="false"/>
                <w:smallCaps w:val="false"/>
                <w:spacing w:val="0"/>
                <w:sz w:val="24"/>
                <w:shd w:fill="auto" w:val="clear"/>
              </w:rPr>
              <w:t>Nome</w:t>
            </w:r>
          </w:p>
          <w:p>
            <w:pPr>
              <w:pStyle w:val="Contedodatabela"/>
              <w:widowControl w:val="false"/>
              <w:jc w:val="center"/>
              <w:rPr>
                <w:rFonts w:ascii="Calibri" w:hAnsi="Calibri" w:cs="Calibri"/>
              </w:rPr>
            </w:pPr>
            <w:r>
              <w:rPr>
                <w:rStyle w:val="Strong"/>
                <w:rFonts w:eastAsia="Times New Roman" w:cs="Calibri" w:ascii="Calibri" w:hAnsi="Calibri"/>
                <w:b w:val="false"/>
                <w:bCs w:val="false"/>
                <w:i w:val="false"/>
                <w:caps w:val="false"/>
                <w:smallCaps w:val="false"/>
                <w:spacing w:val="0"/>
                <w:sz w:val="24"/>
                <w:shd w:fill="auto" w:val="clear"/>
              </w:rPr>
              <w:t>Presidente da Equipe</w:t>
            </w:r>
          </w:p>
        </w:tc>
        <w:tc>
          <w:tcPr>
            <w:tcW w:w="4882"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t>__________________________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i w:val="false"/>
                <w:caps w:val="false"/>
                <w:smallCaps w:val="false"/>
                <w:spacing w:val="0"/>
                <w:sz w:val="24"/>
                <w:shd w:fill="auto" w:val="clear"/>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i w:val="false"/>
                <w:caps w:val="false"/>
                <w:smallCaps w:val="false"/>
                <w:color w:val="000000"/>
                <w:spacing w:val="0"/>
                <w:kern w:val="0"/>
                <w:sz w:val="24"/>
                <w:shd w:fill="auto" w:val="clear"/>
                <w:lang w:eastAsia="ja-JP" w:bidi="ar-SA"/>
              </w:rPr>
              <w:t>Integrante Requisitante</w:t>
            </w:r>
          </w:p>
        </w:tc>
      </w:tr>
      <w:tr>
        <w:trPr>
          <w:trHeight w:val="1851" w:hRule="atLeast"/>
        </w:trPr>
        <w:tc>
          <w:tcPr>
            <w:tcW w:w="4869"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eastAsia="Times New Roman" w:cs="Calibri"/>
              </w:rPr>
            </w:pPr>
            <w:r>
              <w:rPr>
                <w:rFonts w:eastAsia="Times New Roman" w:cs="Calibri" w:ascii="Calibri" w:hAnsi="Calibri"/>
              </w:rPr>
            </w:r>
          </w:p>
          <w:p>
            <w:pPr>
              <w:pStyle w:val="Contedodatabela"/>
              <w:widowControl w:val="false"/>
              <w:jc w:val="center"/>
              <w:rPr>
                <w:rFonts w:ascii="Calibri" w:hAnsi="Calibri" w:cs="Calibri"/>
              </w:rPr>
            </w:pPr>
            <w:r>
              <w:rPr>
                <w:rFonts w:cs="Calibri" w:ascii="Calibri" w:hAnsi="Calibri"/>
              </w:rPr>
              <w:t>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i w:val="false"/>
                <w:caps w:val="false"/>
                <w:smallCaps w:val="false"/>
                <w:spacing w:val="0"/>
                <w:sz w:val="24"/>
                <w:shd w:fill="auto" w:val="clear"/>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i w:val="false"/>
                <w:caps w:val="false"/>
                <w:smallCaps w:val="false"/>
                <w:color w:val="000000"/>
                <w:spacing w:val="0"/>
                <w:kern w:val="0"/>
                <w:sz w:val="24"/>
                <w:shd w:fill="auto" w:val="clear"/>
                <w:lang w:eastAsia="ja-JP" w:bidi="ar-SA"/>
              </w:rPr>
              <w:t>Integrante Administrativo</w:t>
            </w:r>
          </w:p>
        </w:tc>
        <w:tc>
          <w:tcPr>
            <w:tcW w:w="4882" w:type="dxa"/>
            <w:tcBorders/>
            <w:vAlign w:val="center"/>
          </w:tcPr>
          <w:p>
            <w:pPr>
              <w:pStyle w:val="Contedodatabela"/>
              <w:widowControl w:val="false"/>
              <w:snapToGrid w:val="false"/>
              <w:jc w:val="center"/>
              <w:rPr>
                <w:rFonts w:ascii="Calibri" w:hAnsi="Calibri" w:cs="Calibri"/>
              </w:rPr>
            </w:pPr>
            <w:commentRangeEnd w:id="32"/>
            <w:r>
              <w:commentReference w:id="32"/>
            </w:r>
            <w:r>
              <w:rPr/>
            </w:r>
          </w:p>
          <w:p>
            <w:pPr>
              <w:pStyle w:val="Contedodatabela"/>
              <w:widowControl w:val="false"/>
              <w:jc w:val="center"/>
              <w:rPr>
                <w:rFonts w:ascii="Calibri" w:hAnsi="Calibri" w:eastAsia="Times New Roman" w:cs="Calibri"/>
              </w:rPr>
            </w:pPr>
            <w:r>
              <w:rPr>
                <w:rFonts w:eastAsia="Times New Roman" w:cs="Calibri" w:ascii="Calibri" w:hAnsi="Calibri"/>
              </w:rPr>
            </w:r>
          </w:p>
          <w:p>
            <w:pPr>
              <w:pStyle w:val="Contedodatabela"/>
              <w:widowControl w:val="false"/>
              <w:jc w:val="center"/>
              <w:rPr>
                <w:rFonts w:ascii="Calibri" w:hAnsi="Calibri" w:cs="Calibri"/>
              </w:rPr>
            </w:pPr>
            <w:r>
              <w:rPr>
                <w:rFonts w:cs="Calibri" w:ascii="Calibri" w:hAnsi="Calibri"/>
              </w:rPr>
              <w:t>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i w:val="false"/>
                <w:caps w:val="false"/>
                <w:smallCaps w:val="false"/>
                <w:spacing w:val="0"/>
                <w:sz w:val="24"/>
                <w:shd w:fill="auto" w:val="clear"/>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i w:val="false"/>
                <w:caps w:val="false"/>
                <w:smallCaps w:val="false"/>
                <w:color w:val="000000"/>
                <w:spacing w:val="0"/>
                <w:kern w:val="0"/>
                <w:sz w:val="24"/>
                <w:shd w:fill="auto" w:val="clear"/>
                <w:lang w:eastAsia="ja-JP" w:bidi="ar-SA"/>
              </w:rPr>
              <w:t>Integrante Administrativo</w:t>
            </w:r>
          </w:p>
        </w:tc>
      </w:tr>
    </w:tbl>
    <w:p>
      <w:pPr>
        <w:pStyle w:val="Normal"/>
        <w:jc w:val="center"/>
        <w:rPr>
          <w:rFonts w:ascii="Calibri" w:hAnsi="Calibri" w:cs="Calibri"/>
          <w:b w:val="false"/>
          <w:b w:val="false"/>
          <w:bCs w:val="false"/>
        </w:rPr>
      </w:pPr>
      <w:r>
        <w:rPr>
          <w:rFonts w:cs="Calibri" w:ascii="Calibri" w:hAnsi="Calibri"/>
          <w:b w:val="false"/>
          <w:bCs w:val="false"/>
        </w:rPr>
      </w:r>
    </w:p>
    <w:p>
      <w:pPr>
        <w:pStyle w:val="Normal"/>
        <w:jc w:val="center"/>
        <w:rPr>
          <w:rFonts w:ascii="Calibri" w:hAnsi="Calibri" w:cs="Calibri"/>
          <w:b w:val="false"/>
          <w:b w:val="false"/>
          <w:bCs w:val="false"/>
        </w:rPr>
      </w:pPr>
      <w:r>
        <w:rPr>
          <w:rFonts w:cs="Calibri" w:ascii="Calibri" w:hAnsi="Calibri"/>
          <w:b w:val="false"/>
          <w:bCs w:val="false"/>
        </w:rPr>
      </w:r>
    </w:p>
    <w:p>
      <w:pPr>
        <w:pStyle w:val="Normal"/>
        <w:jc w:val="center"/>
        <w:rPr>
          <w:rFonts w:ascii="Calibri" w:hAnsi="Calibri" w:cs="Calibri"/>
          <w:b w:val="false"/>
          <w:b w:val="false"/>
          <w:bCs w:val="false"/>
        </w:rPr>
      </w:pPr>
      <w:r>
        <w:rPr>
          <w:rFonts w:cs="Calibri" w:ascii="Calibri" w:hAnsi="Calibri"/>
          <w:b w:val="false"/>
          <w:bCs w:val="false"/>
        </w:rPr>
      </w:r>
    </w:p>
    <w:p>
      <w:pPr>
        <w:pStyle w:val="Normal"/>
        <w:jc w:val="center"/>
        <w:rPr>
          <w:rFonts w:ascii="Calibri" w:hAnsi="Calibri" w:cs="Calibri"/>
          <w:b w:val="false"/>
          <w:b w:val="false"/>
          <w:bCs w:val="false"/>
        </w:rPr>
      </w:pPr>
      <w:r>
        <w:rPr>
          <w:rFonts w:cs="Calibri" w:ascii="Calibri" w:hAnsi="Calibri"/>
          <w:b w:val="false"/>
          <w:bCs w:val="false"/>
        </w:rPr>
      </w:r>
    </w:p>
    <w:p>
      <w:pPr>
        <w:pStyle w:val="Normal"/>
        <w:jc w:val="center"/>
        <w:rPr>
          <w:rFonts w:ascii="Calibri" w:hAnsi="Calibri" w:cs="Calibri"/>
          <w:b w:val="false"/>
          <w:b w:val="false"/>
          <w:bCs w:val="false"/>
        </w:rPr>
      </w:pPr>
      <w:r>
        <w:rPr>
          <w:rFonts w:cs="Calibri" w:ascii="Calibri" w:hAnsi="Calibri"/>
          <w:b w:val="false"/>
          <w:bCs w:val="false"/>
        </w:rPr>
      </w:r>
      <w:r>
        <w:br w:type="page"/>
      </w:r>
    </w:p>
    <w:p>
      <w:pPr>
        <w:pStyle w:val="Normal"/>
        <w:shd w:val="clear" w:color="auto" w:fill="38AB81"/>
        <w:jc w:val="center"/>
        <w:rPr>
          <w:rFonts w:ascii="Calibri" w:hAnsi="Calibri" w:eastAsia="SimSun;宋体" w:cs="Calibri"/>
          <w:b/>
          <w:b/>
          <w:bCs/>
          <w:color w:val="FFFFFF"/>
        </w:rPr>
      </w:pPr>
      <w:r>
        <w:rPr>
          <w:rFonts w:eastAsia="SimSun;宋体" w:cs="Calibri" w:ascii="Calibri" w:hAnsi="Calibri"/>
          <w:b/>
          <w:bCs/>
          <w:color w:val="FFFFFF"/>
        </w:rPr>
        <w:t>ANEXO I – MAPA DE PESQUISA DE PREÇOS</w:t>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cs="Calibri"/>
          <w:b/>
          <w:b/>
          <w:bCs/>
        </w:rPr>
      </w:pPr>
      <w:r>
        <w:rPr>
          <w:rFonts w:cs="Calibri" w:ascii="Calibri" w:hAnsi="Calibri"/>
          <w:b/>
          <w:bCs/>
        </w:rPr>
      </w:r>
    </w:p>
    <w:p>
      <w:pPr>
        <w:pStyle w:val="Normal"/>
        <w:jc w:val="center"/>
        <w:rPr>
          <w:rFonts w:ascii="Calibri" w:hAnsi="Calibri" w:eastAsia="SimSun;宋体" w:cs="Calibri"/>
          <w:b/>
          <w:b/>
          <w:bCs/>
          <w:color w:val="00000A"/>
        </w:rPr>
      </w:pPr>
      <w:r>
        <w:rPr>
          <w:rFonts w:eastAsia="SimSun;宋体" w:cs="Calibri" w:ascii="Calibri" w:hAnsi="Calibri"/>
          <w:b/>
          <w:bCs/>
          <w:color w:val="00000A"/>
        </w:rPr>
        <w:t>PESQUISA DE PREÇOS</w:t>
      </w:r>
    </w:p>
    <w:p>
      <w:pPr>
        <w:pStyle w:val="Normal"/>
        <w:jc w:val="center"/>
        <w:rPr>
          <w:rFonts w:ascii="Calibri" w:hAnsi="Calibri" w:eastAsia="SimSun;宋体" w:cs="Calibri"/>
          <w:b/>
          <w:b/>
          <w:bCs/>
          <w:color w:val="00000A"/>
        </w:rPr>
      </w:pPr>
      <w:r>
        <w:rPr>
          <w:rFonts w:eastAsia="SimSun;宋体" w:cs="Calibri" w:ascii="Calibri" w:hAnsi="Calibri"/>
          <w:b/>
          <w:bCs/>
          <w:color w:val="00000A"/>
        </w:rPr>
      </w:r>
    </w:p>
    <w:p>
      <w:pPr>
        <w:pStyle w:val="Normal"/>
        <w:jc w:val="center"/>
        <w:rPr>
          <w:rFonts w:ascii="Calibri" w:hAnsi="Calibri" w:cs="Calibri"/>
          <w:b/>
          <w:b/>
          <w:bCs/>
          <w:color w:val="FFFFFF"/>
        </w:rPr>
      </w:pPr>
      <w:r>
        <w:rPr/>
      </w:r>
    </w:p>
    <w:sectPr>
      <w:headerReference w:type="default" r:id="rId3"/>
      <w:footerReference w:type="default" r:id="rId4"/>
      <w:type w:val="nextPage"/>
      <w:pgSz w:w="11906" w:h="16838"/>
      <w:pgMar w:left="1077" w:right="1077" w:gutter="0" w:header="709" w:top="1900" w:footer="283" w:bottom="1587"/>
      <w:pgNumType w:fmt="decimal"/>
      <w:formProt w:val="false"/>
      <w:textDirection w:val="lrTb"/>
      <w:docGrid w:type="default" w:linePitch="312"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Autor desconhecido" w:date="2023-05-30T09:54:32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número de processo</w:t>
      </w:r>
    </w:p>
  </w:comment>
  <w:comment w:id="1" w:author="Autor desconhecido" w:date="2023-05-31T09:16:09Z" w:initials="">
    <w:p>
      <w:r>
        <w:rPr>
          <w:rFonts w:ascii="Liberation Serif" w:hAnsi="Liberation Serif" w:eastAsia="Segoe UI" w:cs="Tahoma"/>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en-US" w:eastAsia="en-US" w:bidi="en-US"/>
        </w:rPr>
        <w:t>Informar o objeto que se pretende adquirir, nota-se que não se trata dos itens que compõe o processo, mas sim do objeto deste. Aqui pode se realizar alterações, caso o DFD seja limitado.</w:t>
      </w:r>
    </w:p>
  </w:comment>
  <w:comment w:id="2" w:author="Autor desconhecido" w:date="2022-07-28T11:21:32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Número da portaria</w:t>
      </w:r>
    </w:p>
  </w:comment>
  <w:comment w:id="3" w:author="Autor desconhecido" w:date="2023-05-29T17:28:3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os participantes do planejamento conforme portaria</w:t>
      </w:r>
    </w:p>
  </w:comment>
  <w:comment w:id="4" w:author="Autor desconhecido" w:date="2023-05-30T10:05:2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Justificativa padronizada</w:t>
      </w:r>
    </w:p>
  </w:comment>
  <w:comment w:id="5" w:author="Autor desconhecido" w:date="2023-05-29T13:20:1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se foi colocado no planejamento do setor</w:t>
      </w:r>
    </w:p>
  </w:comment>
  <w:comment w:id="6" w:author="Autor desconhecido" w:date="2023-05-29T13:20:3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a necessidade do objeto</w:t>
      </w:r>
    </w:p>
  </w:comment>
  <w:comment w:id="7" w:author="Autor desconhecido" w:date="2023-05-29T13:20:56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o uso do objeto</w:t>
      </w:r>
    </w:p>
  </w:comment>
  <w:comment w:id="8" w:author="Autor desconhecido" w:date="2023-05-29T13:21:0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os possíveis impactos da não aquisição</w:t>
      </w:r>
    </w:p>
  </w:comment>
  <w:comment w:id="9" w:author="Autor desconhecido" w:date="2023-05-30T10:05:46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Texto para implicação do uso do PDM/CATSER</w:t>
      </w:r>
    </w:p>
  </w:comment>
  <w:comment w:id="10" w:author="Autor desconhecido" w:date="2023-05-31T09:25:13Z" w:initials="">
    <w:p>
      <w:r>
        <w:rPr>
          <w:rFonts w:ascii="Liberation Serif" w:hAnsi="Liberation Serif" w:eastAsia="Segoe UI" w:cs="Tahoma"/>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en-US" w:eastAsia="en-US" w:bidi="en-US"/>
        </w:rPr>
        <w:t>Ajustar conforme o serviço que será contratado o CATSER é extraído do Catálogo: https://catalogo.compras.gov.br/cnbs-web/busca</w:t>
      </w:r>
    </w:p>
  </w:comment>
  <w:comment w:id="11" w:author="" w:date="0-00-00T00:00:00Z" w:initials="">
    <w:p>
      <w:r>
        <w:rPr>
          <w:rFonts w:ascii="Liberation Serif" w:hAnsi="Liberation Serif" w:eastAsia="Segoe UI" w:cs="Tahoma"/>
          <w:kern w:val="0"/>
          <w:lang w:val="en-US" w:eastAsia="en-US" w:bidi="en-US"/>
        </w:rPr>
      </w:r>
    </w:p>
  </w:comment>
  <w:comment w:id="12" w:author="Autor desconhecido" w:date="2023-05-31T09:24:36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Extrair da planilha de controle</w:t>
      </w:r>
    </w:p>
  </w:comment>
  <w:comment w:id="13" w:author="Autor desconhecido" w:date="2022-07-28T11:46:2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o setor demandante e seu responsável</w:t>
      </w:r>
    </w:p>
  </w:comment>
  <w:comment w:id="14" w:author="Autor desconhecido" w:date="2023-05-31T09:27:0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mais itens conforme o tipo de serviço e verificar a necessidade de subcontratação dos serviços</w:t>
      </w:r>
    </w:p>
  </w:comment>
  <w:comment w:id="15" w:author="Autor desconhecido" w:date="2023-05-30T10:3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Descrição do objeto nos mesmos termos do texto inicial</w:t>
      </w:r>
    </w:p>
  </w:comment>
  <w:comment w:id="16" w:author="Autor desconhecido" w:date="2023-05-30T10:35:12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17" w:author="Autor desconhecido" w:date="2023-05-30T10:3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Descrição do objeto nos mesmos termos do texto inicial</w:t>
      </w:r>
    </w:p>
  </w:comment>
  <w:comment w:id="18" w:author="Autor desconhecido" w:date="2023-05-30T10:3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Descrição do objeto nos mesmos termos do texto inicial</w:t>
      </w:r>
    </w:p>
  </w:comment>
  <w:comment w:id="19" w:author="Autor desconhecido" w:date="2023-05-30T10:57:3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 descrição da solução pode variar conforme o serviço que será contratado</w:t>
      </w:r>
    </w:p>
  </w:comment>
  <w:comment w:id="20" w:author="Autor desconhecido" w:date="2023-05-31T09:56:36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Os tópicos podem variar de acordo com o serviço que se deseja contratar.</w:t>
      </w:r>
    </w:p>
  </w:comment>
  <w:comment w:id="21" w:author="Autor desconhecido" w:date="2023-05-31T09:57:46Z" w:initials="">
    <w:p>
      <w:r>
        <w:rPr>
          <w:rFonts w:ascii="Liberation Serif" w:hAnsi="Liberation Serif" w:eastAsia="Segoe UI" w:cs="Tahoma"/>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en-US" w:eastAsia="en-US" w:bidi="en-US"/>
        </w:rPr>
        <w:t>Descrever detalhadamente o item que se pretende contratar, quantidade e forma de apresentação</w:t>
      </w:r>
    </w:p>
  </w:comment>
  <w:comment w:id="22" w:author="Autor desconhecido" w:date="2023-05-29T17:37:50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conforme a necessidade</w:t>
      </w:r>
    </w:p>
  </w:comment>
  <w:comment w:id="23" w:author="Autor desconhecido" w:date="2022-07-28T11:58:00Z" w:initials="">
    <w:p>
      <w:r>
        <w:rPr>
          <w:rFonts w:ascii="Liberation Serif" w:hAnsi="Liberation Serif" w:eastAsia="Segoe UI" w:cs="Tahoma"/>
          <w:kern w:val="0"/>
          <w:sz w:val="20"/>
          <w:lang w:val="en-US" w:eastAsia="en-US" w:bidi="en-US"/>
        </w:rPr>
        <w:t>Valores oriundos da pesquisa de preços realizada</w:t>
      </w:r>
    </w:p>
  </w:comment>
  <w:comment w:id="24" w:author="Autor desconhecido" w:date="2023-05-29T13:46:2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Frase padrão para o uso do banco de preços</w:t>
      </w:r>
    </w:p>
  </w:comment>
  <w:comment w:id="25" w:author="Autor desconhecido" w:date="2023-05-29T13:53:2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Utilizado quando fizer uso de pesquisa com fornecedor</w:t>
      </w:r>
    </w:p>
  </w:comment>
  <w:comment w:id="26" w:author="Autor desconhecido" w:date="2023-05-29T14:1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conforme necessidade, item ou lote, valor e forma de julgamento.</w:t>
      </w:r>
    </w:p>
  </w:comment>
  <w:comment w:id="27" w:author="Autor desconhecido" w:date="2023-05-29T14:18:0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se haverá ou não parcelamento, a forma de apresentação do objeto (item, lote)</w:t>
      </w:r>
    </w:p>
  </w:comment>
  <w:comment w:id="28" w:author="Autor desconhecido" w:date="2023-05-30T11:02:3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Utilizar conforme necessidade</w:t>
      </w:r>
    </w:p>
  </w:comment>
  <w:comment w:id="29" w:author="Autor desconhecido" w:date="2023-05-30T11:05:4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30" w:author="Autor desconhecido" w:date="2023-05-30T11:07:40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31" w:author="Autor desconhecido" w:date="2022-07-28T12:18:35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data</w:t>
      </w:r>
    </w:p>
  </w:comment>
  <w:comment w:id="32" w:author="Autor desconhecido" w:date="2022-07-28T12:18:25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Nome dos participantes</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Mono">
    <w:altName w:val="Courier New"/>
    <w:charset w:val="00"/>
    <w:family w:val="roman"/>
    <w:pitch w:val="variable"/>
  </w:font>
  <w:font w:name="OpenSymbol">
    <w:altName w:val="Arial Unicode MS"/>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roman"/>
    <w:pitch w:val="variable"/>
  </w:font>
  <w:font w:name="Calibri">
    <w:charset w:val="01"/>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LinkdaInternet"/>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pPr>
    <w:r>
      <w:rPr/>
      <w:drawing>
        <wp:anchor behindDoc="0" distT="0" distB="0" distL="0" distR="0" simplePos="0" locked="0" layoutInCell="0" allowOverlap="1" relativeHeight="11">
          <wp:simplePos x="0" y="0"/>
          <wp:positionH relativeFrom="column">
            <wp:align>center</wp:align>
          </wp:positionH>
          <wp:positionV relativeFrom="paragraph">
            <wp:posOffset>48260</wp:posOffset>
          </wp:positionV>
          <wp:extent cx="6478905" cy="502920"/>
          <wp:effectExtent l="0" t="0" r="0" b="0"/>
          <wp:wrapSquare wrapText="largest"/>
          <wp:docPr id="3"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descr=""/>
                  <pic:cNvPicPr>
                    <a:picLocks noChangeAspect="1" noChangeArrowheads="1"/>
                  </pic:cNvPicPr>
                </pic:nvPicPr>
                <pic:blipFill>
                  <a:blip r:embed="rId1"/>
                  <a:srcRect l="-7" t="-92" r="-7" b="-92"/>
                  <a:stretch>
                    <a:fillRect/>
                  </a:stretch>
                </pic:blipFill>
                <pic:spPr bwMode="auto">
                  <a:xfrm>
                    <a:off x="0" y="0"/>
                    <a:ext cx="6478905" cy="50292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0" distT="0" distB="0" distL="0" distR="0" simplePos="0" locked="0" layoutInCell="0" allowOverlap="1" relativeHeight="21">
          <wp:simplePos x="0" y="0"/>
          <wp:positionH relativeFrom="column">
            <wp:posOffset>-143510</wp:posOffset>
          </wp:positionH>
          <wp:positionV relativeFrom="paragraph">
            <wp:posOffset>-78105</wp:posOffset>
          </wp:positionV>
          <wp:extent cx="6478905" cy="808990"/>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1"/>
                  <a:srcRect l="-7" t="-51" r="-7" b="-51"/>
                  <a:stretch>
                    <a:fillRect/>
                  </a:stretch>
                </pic:blipFill>
                <pic:spPr bwMode="auto">
                  <a:xfrm>
                    <a:off x="0" y="0"/>
                    <a:ext cx="6478905" cy="8089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4"/>
        </w:tabs>
        <w:ind w:left="754" w:hanging="754"/>
      </w:pPr>
      <w:rPr>
        <w:sz w:val="24"/>
        <w:b/>
        <w:szCs w:val="24"/>
        <w:bCs/>
        <w:rFonts w:cs="Calibri"/>
        <w:color w:val="FFFFFF"/>
      </w:rPr>
    </w:lvl>
    <w:lvl w:ilvl="1">
      <w:start w:val="1"/>
      <w:numFmt w:val="decimal"/>
      <w:lvlText w:val="%1.%2."/>
      <w:lvlJc w:val="left"/>
      <w:pPr>
        <w:tabs>
          <w:tab w:val="num" w:pos="794"/>
        </w:tabs>
        <w:ind w:left="794" w:hanging="794"/>
      </w:pPr>
      <w:rPr>
        <w:dstrike w:val="false"/>
        <w:strike w:val="false"/>
        <w:sz w:val="24"/>
        <w:b w:val="false"/>
        <w:szCs w:val="24"/>
        <w:bCs w:val="false"/>
        <w:rFonts w:eastAsia="Calibri" w:cs="Calibri"/>
        <w:color w:val="00000A"/>
        <w:lang w:eastAsia="en-US"/>
      </w:rPr>
    </w:lvl>
    <w:lvl w:ilvl="2">
      <w:start w:val="1"/>
      <w:numFmt w:val="decimal"/>
      <w:lvlText w:val="%1.%2.%3."/>
      <w:lvlJc w:val="left"/>
      <w:pPr>
        <w:tabs>
          <w:tab w:val="num" w:pos="1587"/>
        </w:tabs>
        <w:ind w:left="1587" w:hanging="793"/>
      </w:pPr>
      <w:rPr>
        <w:sz w:val="24"/>
        <w:b w:val="false"/>
        <w:szCs w:val="24"/>
        <w:bCs w:val="false"/>
        <w:rFonts w:eastAsia="Calibri" w:cs="Calibri"/>
        <w:color w:val="000000"/>
        <w:lang w:eastAsia="en-US"/>
      </w:rPr>
    </w:lvl>
    <w:lvl w:ilvl="3">
      <w:start w:val="1"/>
      <w:numFmt w:val="decimal"/>
      <w:lvlText w:val="%1.%2.%3.%4."/>
      <w:lvlJc w:val="left"/>
      <w:pPr>
        <w:tabs>
          <w:tab w:val="num" w:pos="1587"/>
        </w:tabs>
        <w:ind w:left="2381" w:hanging="794"/>
      </w:pPr>
      <w:rPr/>
    </w:lvl>
    <w:lvl w:ilvl="4">
      <w:start w:val="1"/>
      <w:numFmt w:val="decimal"/>
      <w:lvlText w:val="%1.%2.%3.%4.%5."/>
      <w:lvlJc w:val="left"/>
      <w:pPr>
        <w:tabs>
          <w:tab w:val="num" w:pos="1985"/>
        </w:tabs>
        <w:ind w:left="2342" w:hanging="755"/>
      </w:pPr>
      <w:rPr/>
    </w:lvl>
    <w:lvl w:ilvl="5">
      <w:start w:val="1"/>
      <w:numFmt w:val="decimal"/>
      <w:lvlText w:val="%6."/>
      <w:lvlJc w:val="left"/>
      <w:pPr>
        <w:tabs>
          <w:tab w:val="num" w:pos="2381"/>
        </w:tabs>
        <w:ind w:left="2738" w:hanging="397"/>
      </w:pPr>
      <w:rPr/>
    </w:lvl>
    <w:lvl w:ilvl="6">
      <w:start w:val="1"/>
      <w:numFmt w:val="decimal"/>
      <w:lvlText w:val="%7."/>
      <w:lvlJc w:val="left"/>
      <w:pPr>
        <w:tabs>
          <w:tab w:val="num" w:pos="2778"/>
        </w:tabs>
        <w:ind w:left="3135" w:hanging="397"/>
      </w:pPr>
      <w:rPr/>
    </w:lvl>
    <w:lvl w:ilvl="7">
      <w:start w:val="1"/>
      <w:numFmt w:val="decimal"/>
      <w:lvlText w:val="%8."/>
      <w:lvlJc w:val="left"/>
      <w:pPr>
        <w:tabs>
          <w:tab w:val="num" w:pos="3175"/>
        </w:tabs>
        <w:ind w:left="3532" w:hanging="397"/>
      </w:pPr>
      <w:rPr/>
    </w:lvl>
    <w:lvl w:ilvl="8">
      <w:start w:val="1"/>
      <w:numFmt w:val="decimal"/>
      <w:lvlText w:val="%9."/>
      <w:lvlJc w:val="left"/>
      <w:pPr>
        <w:tabs>
          <w:tab w:val="num" w:pos="3572"/>
        </w:tabs>
        <w:ind w:left="3929" w:hanging="397"/>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pt-BR"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overflowPunct w:val="false"/>
      <w:bidi w:val="0"/>
      <w:spacing w:before="0" w:after="0"/>
      <w:jc w:val="left"/>
    </w:pPr>
    <w:rPr>
      <w:rFonts w:ascii="Liberation Serif;Times New Roma" w:hAnsi="Liberation Serif;Times New Roma" w:eastAsia="NSimSun" w:cs="Lucida Sans"/>
      <w:color w:val="auto"/>
      <w:kern w:val="2"/>
      <w:sz w:val="24"/>
      <w:szCs w:val="24"/>
      <w:lang w:val="pt-B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ontepargpadro1" w:customStyle="1">
    <w:name w:val="Fonte parág. padrão1"/>
    <w:qFormat/>
    <w:rPr/>
  </w:style>
  <w:style w:type="character" w:styleId="LinkdaInternet" w:customStyle="1">
    <w:name w:val="Hyperlink"/>
    <w:basedOn w:val="Fontepargpadro1"/>
    <w:rPr>
      <w:color w:val="0000FF"/>
      <w:u w:val="single"/>
    </w:rPr>
  </w:style>
  <w:style w:type="character" w:styleId="Smbolosdenumerao" w:customStyle="1">
    <w:name w:val="Símbolos de numeração"/>
    <w:qFormat/>
    <w:rPr/>
  </w:style>
  <w:style w:type="character" w:styleId="Entradadousurio" w:customStyle="1">
    <w:name w:val="Entrada do usuário"/>
    <w:qFormat/>
    <w:rPr>
      <w:rFonts w:ascii="Liberation Mono;Courier New" w:hAnsi="Liberation Mono;Courier New" w:eastAsia="NSimSun" w:cs="Liberation Mono;Courier New"/>
      <w:color w:val="00000A"/>
    </w:rPr>
  </w:style>
  <w:style w:type="character" w:styleId="Linkdainternetvisitado" w:customStyle="1">
    <w:name w:val="FollowedHyperlink"/>
    <w:rPr>
      <w:color w:val="800000"/>
      <w:u w:val="single"/>
    </w:rPr>
  </w:style>
  <w:style w:type="character" w:styleId="Marcas" w:customStyle="1">
    <w:name w:val="Marcas"/>
    <w:qFormat/>
    <w:rPr>
      <w:rFonts w:ascii="OpenSymbol;Arial Unicode MS" w:hAnsi="OpenSymbol;Arial Unicode MS" w:eastAsia="OpenSymbol;Arial Unicode MS" w:cs="OpenSymbol;Arial Unicode MS"/>
    </w:rPr>
  </w:style>
  <w:style w:type="character" w:styleId="Calibri12">
    <w:name w:val="Calibri_12"/>
    <w:basedOn w:val="DefaultParagraphFont"/>
    <w:qFormat/>
    <w:rPr>
      <w:rFonts w:ascii="Calibri" w:hAnsi="Calibri"/>
      <w:sz w:val="24"/>
    </w:rPr>
  </w:style>
  <w:style w:type="character" w:styleId="Calibri12b">
    <w:name w:val="Calibri_12b"/>
    <w:basedOn w:val="DefaultParagraphFont"/>
    <w:qFormat/>
    <w:rPr>
      <w:rFonts w:ascii="Calibri" w:hAnsi="Calibri"/>
      <w:b/>
      <w:color w:val="FFFFFF" w:themeColor="background1"/>
      <w:sz w:val="24"/>
    </w:rPr>
  </w:style>
  <w:style w:type="character" w:styleId="Strong">
    <w:name w:val="Strong"/>
    <w:qFormat/>
    <w:rPr>
      <w:b/>
      <w:bCs/>
    </w:rPr>
  </w:style>
  <w:style w:type="character" w:styleId="Marcadores">
    <w:name w:val="Marcadores"/>
    <w:qFormat/>
    <w:rPr>
      <w:rFonts w:ascii="OpenSymbol" w:hAnsi="OpenSymbol" w:eastAsia="OpenSymbol" w:cs="OpenSymbol"/>
    </w:rPr>
  </w:style>
  <w:style w:type="paragraph" w:styleId="Ttulo">
    <w:name w:val="Título"/>
    <w:basedOn w:val="Normal"/>
    <w:next w:val="Corpodotexto"/>
    <w:qFormat/>
    <w:pPr>
      <w:keepNext w:val="true"/>
      <w:spacing w:before="240" w:after="120"/>
    </w:pPr>
    <w:rPr>
      <w:rFonts w:ascii="Arial" w:hAnsi="Arial"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style>
  <w:style w:type="paragraph" w:styleId="Ttulododocumento">
    <w:name w:val="Title"/>
    <w:basedOn w:val="Normal"/>
    <w:next w:val="Corpodotexto"/>
    <w:uiPriority w:val="10"/>
    <w:qFormat/>
    <w:pPr>
      <w:keepNext w:val="true"/>
      <w:spacing w:before="240" w:after="120"/>
    </w:pPr>
    <w:rPr>
      <w:rFonts w:ascii="Liberation Sans;Arial" w:hAnsi="Liberation Sans;Arial" w:eastAsia="Microsoft YaHei"/>
      <w:sz w:val="28"/>
      <w:szCs w:val="28"/>
    </w:rPr>
  </w:style>
  <w:style w:type="paragraph" w:styleId="Caption">
    <w:name w:val="caption"/>
    <w:basedOn w:val="Normal"/>
    <w:qFormat/>
    <w:pPr>
      <w:suppressLineNumbers/>
      <w:spacing w:before="120" w:after="120"/>
    </w:pPr>
    <w:rPr>
      <w:i/>
      <w:iCs/>
    </w:rPr>
  </w:style>
  <w:style w:type="paragraph" w:styleId="CabealhoeRodap" w:customStyle="1">
    <w:name w:val="Cabeçalho e Rodapé"/>
    <w:basedOn w:val="Normal"/>
    <w:qFormat/>
    <w:pPr>
      <w:suppressLineNumbers/>
      <w:tabs>
        <w:tab w:val="clear" w:pos="720"/>
        <w:tab w:val="center" w:pos="4819" w:leader="none"/>
        <w:tab w:val="right" w:pos="9638" w:leader="none"/>
      </w:tabs>
    </w:pPr>
    <w:rPr/>
  </w:style>
  <w:style w:type="paragraph" w:styleId="Cabealho">
    <w:name w:val="Header"/>
    <w:basedOn w:val="CabealhoeRodap"/>
    <w:pPr/>
    <w:rPr/>
  </w:style>
  <w:style w:type="paragraph" w:styleId="Rodap">
    <w:name w:val="Footer"/>
    <w:basedOn w:val="CabealhoeRodap"/>
    <w:pPr/>
    <w:rPr/>
  </w:style>
  <w:style w:type="paragraph" w:styleId="Contedodalista" w:customStyle="1">
    <w:name w:val="Conteúdo da lista"/>
    <w:basedOn w:val="Normal"/>
    <w:qFormat/>
    <w:pPr>
      <w:ind w:left="567" w:hanging="0"/>
    </w:pPr>
    <w:rPr/>
  </w:style>
  <w:style w:type="paragraph" w:styleId="Rodap1" w:customStyle="1">
    <w:name w:val="Rodapé1"/>
    <w:basedOn w:val="Normal"/>
    <w:qFormat/>
    <w:pPr>
      <w:tabs>
        <w:tab w:val="clear" w:pos="720"/>
        <w:tab w:val="center" w:pos="4419" w:leader="none"/>
        <w:tab w:val="right" w:pos="8838" w:leader="none"/>
      </w:tabs>
    </w:pPr>
    <w:rPr>
      <w:rFonts w:ascii="Times New Roman" w:hAnsi="Times New Roman" w:eastAsia="Times New Roman" w:cs="Times New Roman"/>
      <w:color w:val="00000A"/>
      <w:sz w:val="20"/>
      <w:szCs w:val="20"/>
      <w:lang w:bidi="ar-SA"/>
    </w:rPr>
  </w:style>
  <w:style w:type="paragraph" w:styleId="CREMERJ" w:customStyle="1">
    <w:name w:val="CREMERJ"/>
    <w:basedOn w:val="Cabealho"/>
    <w:qFormat/>
    <w:pPr>
      <w:jc w:val="both"/>
    </w:pPr>
    <w:rPr>
      <w:rFonts w:ascii="Times New Roman" w:hAnsi="Times New Roman" w:cs="Times New Roman"/>
    </w:rPr>
  </w:style>
  <w:style w:type="paragraph" w:styleId="Contedodatabela" w:customStyle="1">
    <w:name w:val="Conteúdo da tabela"/>
    <w:basedOn w:val="Normal"/>
    <w:qFormat/>
    <w:pPr>
      <w:suppressLineNumbers/>
    </w:pPr>
    <w:rPr/>
  </w:style>
  <w:style w:type="paragraph" w:styleId="Ttulodetabela" w:customStyle="1">
    <w:name w:val="Título de tabela"/>
    <w:basedOn w:val="Contedodatabela"/>
    <w:qFormat/>
    <w:pPr>
      <w:jc w:val="center"/>
    </w:pPr>
    <w:rPr>
      <w:b/>
      <w:bCs/>
    </w:rPr>
  </w:style>
  <w:style w:type="paragraph" w:styleId="Corpodetexto22" w:customStyle="1">
    <w:name w:val="Corpo de texto 22"/>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Corpodetexto21" w:customStyle="1">
    <w:name w:val="Corpo de texto 21"/>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PargrafodaLista1" w:customStyle="1">
    <w:name w:val="Parágrafo da Lista1"/>
    <w:basedOn w:val="Normal"/>
    <w:qFormat/>
    <w:pPr>
      <w:spacing w:before="0" w:after="0"/>
      <w:ind w:left="720" w:hanging="0"/>
      <w:contextualSpacing/>
    </w:pPr>
    <w:rPr/>
  </w:style>
  <w:style w:type="paragraph" w:styleId="Standard" w:customStyle="1">
    <w:name w:val="Standard"/>
    <w:qFormat/>
    <w:pPr>
      <w:widowControl/>
      <w:suppressAutoHyphens w:val="true"/>
      <w:overflowPunct w:val="false"/>
      <w:bidi w:val="0"/>
      <w:spacing w:before="0" w:after="0"/>
      <w:jc w:val="left"/>
    </w:pPr>
    <w:rPr>
      <w:rFonts w:ascii="Liberation Serif;Times New Roma" w:hAnsi="Liberation Serif;Times New Roma" w:eastAsia="SimSun" w:cs="Mangal"/>
      <w:color w:val="00000A"/>
      <w:kern w:val="2"/>
      <w:sz w:val="24"/>
      <w:szCs w:val="24"/>
      <w:lang w:val="pt-BR" w:eastAsia="zh-CN" w:bidi="hi-IN"/>
    </w:rPr>
  </w:style>
  <w:style w:type="paragraph" w:styleId="Corpodotextorecuado">
    <w:name w:val="Body Text Indent"/>
    <w:basedOn w:val="Normal"/>
    <w:pPr>
      <w:spacing w:before="0" w:after="120"/>
      <w:ind w:left="283" w:hanging="0"/>
    </w:pPr>
    <w:rPr>
      <w:rFonts w:cs="Times New Roman"/>
    </w:rPr>
  </w:style>
  <w:style w:type="paragraph" w:styleId="Default" w:customStyle="1">
    <w:name w:val="Default"/>
    <w:qFormat/>
    <w:pPr>
      <w:widowControl w:val="false"/>
      <w:suppressAutoHyphens w:val="true"/>
      <w:overflowPunct w:val="false"/>
      <w:bidi w:val="0"/>
      <w:spacing w:before="0" w:after="0"/>
      <w:jc w:val="left"/>
    </w:pPr>
    <w:rPr>
      <w:rFonts w:ascii="Arial" w:hAnsi="Arial" w:eastAsia="NSimSun" w:cs="Mangal"/>
      <w:color w:val="000000"/>
      <w:kern w:val="2"/>
      <w:sz w:val="24"/>
      <w:szCs w:val="24"/>
      <w:lang w:val="pt-BR" w:eastAsia="zh-CN" w:bidi="hi-IN"/>
    </w:rPr>
  </w:style>
  <w:style w:type="paragraph" w:styleId="CREMERJ1" w:customStyle="1">
    <w:name w:val="CREMERJ_1"/>
    <w:basedOn w:val="Normal"/>
    <w:qFormat/>
    <w:pPr>
      <w:jc w:val="both"/>
    </w:pPr>
    <w:rPr/>
  </w:style>
  <w:style w:type="paragraph" w:styleId="NormalWeb">
    <w:name w:val="Normal (Web)"/>
    <w:basedOn w:val="Normal"/>
    <w:qFormat/>
    <w:pPr>
      <w:spacing w:before="100" w:after="100"/>
    </w:pPr>
    <w:rPr>
      <w:rFonts w:ascii="Times New Roman" w:hAnsi="Times New Roman" w:eastAsia="Times New Roman" w:cs="Times New Roman"/>
      <w:lang w:eastAsia="pt-BR"/>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comments" Target="comment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Application>LibreOffice/7.4.6.2$Windows_X86_64 LibreOffice_project/5b1f5509c2decdade7fda905e3e1429a67acd63d</Application>
  <AppVersion>15.0000</AppVersion>
  <Pages>10</Pages>
  <Words>2617</Words>
  <Characters>14406</Characters>
  <CharactersWithSpaces>16780</CharactersWithSpaces>
  <Paragraphs>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2021-01-23T02:03:00Z</dcterms:created>
  <dc:creator>Wallace Sant'Anna</dc:creator>
  <dc:description/>
  <dc:language>pt-BR</dc:language>
  <cp:lastModifiedBy/>
  <cp:lastPrinted>2022-06-24T12:03:23Z</cp:lastPrinted>
  <dcterms:modified xsi:type="dcterms:W3CDTF">2023-05-31T14:54:02Z</dcterms:modified>
  <cp:revision>66</cp:revision>
  <dc:subject/>
  <dc:title>Autorização de Despesa</dc:title>
</cp:coreProperties>
</file>

<file path=docProps/custom.xml><?xml version="1.0" encoding="utf-8"?>
<Properties xmlns="http://schemas.openxmlformats.org/officeDocument/2006/custom-properties" xmlns:vt="http://schemas.openxmlformats.org/officeDocument/2006/docPropsVTypes"/>
</file>