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media/image2.jpeg" ContentType="image/jpeg"/>
  <Override PartName="/word/media/image3.jpeg" ContentType="image/jpeg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word/_rels/header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hd w:val="clear" w:color="auto" w:fill="38AB81"/>
        <w:overflowPunct w:val="true"/>
        <w:jc w:val="center"/>
        <w:rPr/>
      </w:pPr>
      <w:r>
        <w:rPr>
          <w:rFonts w:cs="Calibri" w:ascii="Calibri" w:hAnsi="Calibri"/>
          <w:b/>
          <w:i w:val="false"/>
          <w:iCs w:val="false"/>
          <w:color w:val="FFFFFF"/>
        </w:rPr>
        <w:t>ANEXO II – MAPA DE RISCOS</w:t>
      </w:r>
    </w:p>
    <w:p>
      <w:pPr>
        <w:pStyle w:val="Normal"/>
        <w:jc w:val="center"/>
        <w:rPr>
          <w:rFonts w:ascii="Calibri" w:hAnsi="Calibri" w:cs="Calibri"/>
          <w:b/>
          <w:b/>
        </w:rPr>
      </w:pPr>
      <w:r>
        <w:rPr>
          <w:rFonts w:cs="Calibri" w:ascii="Calibri" w:hAnsi="Calibri"/>
          <w:b/>
        </w:rPr>
      </w:r>
    </w:p>
    <w:p>
      <w:pPr>
        <w:pStyle w:val="Normal"/>
        <w:jc w:val="both"/>
        <w:rPr/>
      </w:pPr>
      <w:commentRangeStart w:id="0"/>
      <w:r>
        <w:rPr>
          <w:rFonts w:cs="Calibri" w:ascii="Calibri" w:hAnsi="Calibri"/>
          <w:b/>
          <w:color w:val="C9211E"/>
        </w:rPr>
        <w:t>Contratação do Serviço de (manutenção de computadores, manutenção de CFTV, limpeza de dutos)</w:t>
      </w:r>
      <w:commentRangeEnd w:id="0"/>
      <w:r>
        <w:commentReference w:id="0"/>
      </w:r>
      <w:r>
        <w:rPr>
          <w:rFonts w:cs="Calibri" w:ascii="Calibri" w:hAnsi="Calibri"/>
          <w:b/>
          <w:color w:val="C9211E"/>
        </w:rPr>
      </w:r>
    </w:p>
    <w:p>
      <w:pPr>
        <w:pStyle w:val="Normal"/>
        <w:jc w:val="center"/>
        <w:rPr>
          <w:rFonts w:ascii="Calibri" w:hAnsi="Calibri" w:cs="Calibri"/>
          <w:b/>
          <w:b/>
        </w:rPr>
      </w:pPr>
      <w:r>
        <w:rPr>
          <w:rFonts w:cs="Calibri" w:ascii="Calibri" w:hAnsi="Calibri"/>
          <w:b/>
        </w:rPr>
      </w:r>
    </w:p>
    <w:p>
      <w:pPr>
        <w:pStyle w:val="Normal"/>
        <w:shd w:val="clear" w:color="auto" w:fill="38AB81"/>
        <w:jc w:val="center"/>
        <w:rPr>
          <w:rFonts w:ascii="Calibri" w:hAnsi="Calibri" w:cs="Calibri"/>
          <w:b/>
          <w:b/>
          <w:bCs/>
          <w:color w:val="FFFFFF"/>
        </w:rPr>
      </w:pPr>
      <w:r>
        <w:rPr>
          <w:rFonts w:cs="Calibri" w:ascii="Calibri" w:hAnsi="Calibri"/>
          <w:b/>
          <w:bCs/>
          <w:color w:val="FFFFFF"/>
        </w:rPr>
        <w:t>FASE DE ANÁLISE PRELIMINAR</w:t>
      </w:r>
    </w:p>
    <w:p>
      <w:pPr>
        <w:pStyle w:val="Normal"/>
        <w:jc w:val="center"/>
        <w:rPr>
          <w:rFonts w:ascii="Calibri" w:hAnsi="Calibri" w:cs="Calibri"/>
          <w:b/>
          <w:b/>
        </w:rPr>
      </w:pPr>
      <w:r>
        <w:rPr>
          <w:rFonts w:cs="Calibri" w:ascii="Calibri" w:hAnsi="Calibri"/>
          <w:b/>
        </w:rPr>
      </w:r>
    </w:p>
    <w:p>
      <w:pPr>
        <w:pStyle w:val="Normal"/>
        <w:jc w:val="center"/>
        <w:rPr>
          <w:rFonts w:ascii="Calibri" w:hAnsi="Calibri" w:cs="Calibri"/>
          <w:b/>
          <w:b/>
        </w:rPr>
      </w:pPr>
      <w:r>
        <w:rPr>
          <w:rFonts w:cs="Calibri" w:ascii="Calibri" w:hAnsi="Calibri"/>
          <w:b/>
        </w:rPr>
      </w:r>
    </w:p>
    <w:tbl>
      <w:tblPr>
        <w:tblW w:w="9772" w:type="dxa"/>
        <w:jc w:val="center"/>
        <w:tblInd w:w="0" w:type="dxa"/>
        <w:tblLayout w:type="fixed"/>
        <w:tblCellMar>
          <w:top w:w="55" w:type="dxa"/>
          <w:left w:w="45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2442"/>
        <w:gridCol w:w="2437"/>
        <w:gridCol w:w="2450"/>
        <w:gridCol w:w="2442"/>
      </w:tblGrid>
      <w:tr>
        <w:trPr/>
        <w:tc>
          <w:tcPr>
            <w:tcW w:w="9771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38AB81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RISCO 1 – Ausência de designação do gestor da solução.</w:t>
            </w:r>
          </w:p>
        </w:tc>
      </w:tr>
      <w:tr>
        <w:trPr/>
        <w:tc>
          <w:tcPr>
            <w:tcW w:w="24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Probabilidade:</w:t>
            </w:r>
          </w:p>
        </w:tc>
        <w:tc>
          <w:tcPr>
            <w:tcW w:w="24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( x ) Baixa</w:t>
            </w:r>
          </w:p>
        </w:tc>
        <w:tc>
          <w:tcPr>
            <w:tcW w:w="24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(   ) Média</w:t>
            </w:r>
          </w:p>
        </w:tc>
        <w:tc>
          <w:tcPr>
            <w:tcW w:w="24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(   ) Alta</w:t>
            </w:r>
          </w:p>
        </w:tc>
      </w:tr>
      <w:tr>
        <w:trPr/>
        <w:tc>
          <w:tcPr>
            <w:tcW w:w="24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Impacto:</w:t>
            </w:r>
          </w:p>
        </w:tc>
        <w:tc>
          <w:tcPr>
            <w:tcW w:w="24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(   ) Baixa</w:t>
            </w:r>
          </w:p>
        </w:tc>
        <w:tc>
          <w:tcPr>
            <w:tcW w:w="24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(   ) Média</w:t>
            </w:r>
          </w:p>
        </w:tc>
        <w:tc>
          <w:tcPr>
            <w:tcW w:w="24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( x ) Alta</w:t>
            </w:r>
          </w:p>
        </w:tc>
      </w:tr>
      <w:tr>
        <w:trPr/>
        <w:tc>
          <w:tcPr>
            <w:tcW w:w="9771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38AB81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Dano</w:t>
            </w:r>
          </w:p>
        </w:tc>
      </w:tr>
      <w:tr>
        <w:trPr/>
        <w:tc>
          <w:tcPr>
            <w:tcW w:w="9771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color w:val="00000A"/>
                <w:spacing w:val="3"/>
                <w:sz w:val="20"/>
                <w:szCs w:val="20"/>
                <w:shd w:fill="FFFFFF" w:val="clear"/>
              </w:rPr>
              <w:t>Ausência de designação de gestor da solução levando à manutenção de uma solução (e seu(s) contrato(s)) que não atenda mais a uma necessidade do órgão, seja porque a solução não consiga mais atender a essa necessidade, seja porque essa necessidade deixou de existir, com consequente desperdício de recursos.</w:t>
            </w:r>
          </w:p>
        </w:tc>
      </w:tr>
      <w:tr>
        <w:trPr/>
        <w:tc>
          <w:tcPr>
            <w:tcW w:w="487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38AB81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Ação Preventiva</w:t>
            </w:r>
          </w:p>
        </w:tc>
        <w:tc>
          <w:tcPr>
            <w:tcW w:w="48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38AB81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Responsável</w:t>
            </w:r>
          </w:p>
        </w:tc>
      </w:tr>
      <w:tr>
        <w:trPr>
          <w:trHeight w:val="627" w:hRule="atLeast"/>
        </w:trPr>
        <w:tc>
          <w:tcPr>
            <w:tcW w:w="487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1. A Diretoria deve publicar normativo definindo o papel dos gestores para cada solução do órgão, que normalmente é o requisitante da solução, e quais são as obrigações deste com relação à solução.</w:t>
            </w:r>
          </w:p>
        </w:tc>
        <w:tc>
          <w:tcPr>
            <w:tcW w:w="48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  <w:vAlign w:val="cente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Diretoria</w:t>
            </w:r>
          </w:p>
        </w:tc>
      </w:tr>
      <w:tr>
        <w:trPr/>
        <w:tc>
          <w:tcPr>
            <w:tcW w:w="487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38AB81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Ação de Contingência</w:t>
            </w:r>
          </w:p>
        </w:tc>
        <w:tc>
          <w:tcPr>
            <w:tcW w:w="48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38AB81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Responsável</w:t>
            </w:r>
          </w:p>
        </w:tc>
      </w:tr>
      <w:tr>
        <w:trPr>
          <w:trHeight w:val="560" w:hRule="atLeast"/>
        </w:trPr>
        <w:tc>
          <w:tcPr>
            <w:tcW w:w="487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1.Assessoria jurídica não aprova o processo que não contenha, nos autos da contratação, declaração expressa do requisitante de que a manutenção da solução é conveniente e oportuna para atender a uma necessidade de negócio.</w:t>
            </w:r>
          </w:p>
        </w:tc>
        <w:tc>
          <w:tcPr>
            <w:tcW w:w="48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  <w:vAlign w:val="cente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Assessoria Jurídica</w:t>
            </w:r>
          </w:p>
        </w:tc>
      </w:tr>
    </w:tbl>
    <w:p>
      <w:pPr>
        <w:pStyle w:val="Normal"/>
        <w:jc w:val="center"/>
        <w:rPr>
          <w:rFonts w:ascii="Calibri" w:hAnsi="Calibri" w:cs="Calibri"/>
          <w:b/>
          <w:b/>
          <w:bCs/>
          <w:color w:val="CE181E"/>
        </w:rPr>
      </w:pPr>
      <w:r>
        <w:rPr>
          <w:rFonts w:cs="Calibri" w:ascii="Calibri" w:hAnsi="Calibri"/>
          <w:b/>
          <w:bCs/>
          <w:color w:val="CE181E"/>
        </w:rPr>
      </w:r>
    </w:p>
    <w:tbl>
      <w:tblPr>
        <w:tblW w:w="9772" w:type="dxa"/>
        <w:jc w:val="center"/>
        <w:tblInd w:w="0" w:type="dxa"/>
        <w:tblLayout w:type="fixed"/>
        <w:tblCellMar>
          <w:top w:w="55" w:type="dxa"/>
          <w:left w:w="45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2442"/>
        <w:gridCol w:w="2437"/>
        <w:gridCol w:w="2450"/>
        <w:gridCol w:w="2442"/>
      </w:tblGrid>
      <w:tr>
        <w:trPr/>
        <w:tc>
          <w:tcPr>
            <w:tcW w:w="9771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38AB81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RISCO 2 – Contratações desalinhadas com os planos.</w:t>
            </w:r>
          </w:p>
        </w:tc>
      </w:tr>
      <w:tr>
        <w:trPr/>
        <w:tc>
          <w:tcPr>
            <w:tcW w:w="24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Probabilidade:</w:t>
            </w:r>
          </w:p>
        </w:tc>
        <w:tc>
          <w:tcPr>
            <w:tcW w:w="24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(   ) Baixa</w:t>
            </w:r>
          </w:p>
        </w:tc>
        <w:tc>
          <w:tcPr>
            <w:tcW w:w="24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( x ) Média</w:t>
            </w:r>
          </w:p>
        </w:tc>
        <w:tc>
          <w:tcPr>
            <w:tcW w:w="24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(   ) Alta</w:t>
            </w:r>
          </w:p>
        </w:tc>
      </w:tr>
      <w:tr>
        <w:trPr/>
        <w:tc>
          <w:tcPr>
            <w:tcW w:w="24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Impacto:</w:t>
            </w:r>
          </w:p>
        </w:tc>
        <w:tc>
          <w:tcPr>
            <w:tcW w:w="24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(   ) Baixa</w:t>
            </w:r>
          </w:p>
        </w:tc>
        <w:tc>
          <w:tcPr>
            <w:tcW w:w="24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(   ) Média</w:t>
            </w:r>
          </w:p>
        </w:tc>
        <w:tc>
          <w:tcPr>
            <w:tcW w:w="24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( x ) Alta</w:t>
            </w:r>
          </w:p>
        </w:tc>
      </w:tr>
      <w:tr>
        <w:trPr/>
        <w:tc>
          <w:tcPr>
            <w:tcW w:w="9771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38AB81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Dano</w:t>
            </w:r>
          </w:p>
        </w:tc>
      </w:tr>
      <w:tr>
        <w:trPr/>
        <w:tc>
          <w:tcPr>
            <w:tcW w:w="9771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color w:val="00000A"/>
                <w:spacing w:val="3"/>
                <w:sz w:val="20"/>
                <w:szCs w:val="20"/>
                <w:shd w:fill="FFFFFF" w:val="clear"/>
              </w:rPr>
              <w:t>Execução de contratações desalinhadas dos objetivos estabelecidos nos planos do Conselho, levando a deixar de investir em iniciativas que contribuam para o alcance desses.</w:t>
            </w:r>
          </w:p>
        </w:tc>
      </w:tr>
      <w:tr>
        <w:trPr/>
        <w:tc>
          <w:tcPr>
            <w:tcW w:w="487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38AB81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Ação Preventiva</w:t>
            </w:r>
          </w:p>
        </w:tc>
        <w:tc>
          <w:tcPr>
            <w:tcW w:w="48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38AB81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Responsável</w:t>
            </w:r>
          </w:p>
        </w:tc>
      </w:tr>
      <w:tr>
        <w:trPr>
          <w:trHeight w:val="627" w:hRule="atLeast"/>
        </w:trPr>
        <w:tc>
          <w:tcPr>
            <w:tcW w:w="487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1. Diretoria deve aprovar o resultado do planejamento conjunto de todas as contratações e do orçamento da organização, verificando o alinhamento das contratações previstas com os objetivos que constam dos planos, em especial as contratações de maior importância ou materialidade.</w:t>
            </w:r>
          </w:p>
        </w:tc>
        <w:tc>
          <w:tcPr>
            <w:tcW w:w="48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  <w:vAlign w:val="cente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Diretoria</w:t>
            </w:r>
          </w:p>
        </w:tc>
      </w:tr>
      <w:tr>
        <w:trPr/>
        <w:tc>
          <w:tcPr>
            <w:tcW w:w="487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38AB81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Ação de Contingência</w:t>
            </w:r>
          </w:p>
        </w:tc>
        <w:tc>
          <w:tcPr>
            <w:tcW w:w="48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38AB81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Responsável</w:t>
            </w:r>
          </w:p>
        </w:tc>
      </w:tr>
      <w:tr>
        <w:trPr>
          <w:trHeight w:val="560" w:hRule="atLeast"/>
        </w:trPr>
        <w:tc>
          <w:tcPr>
            <w:tcW w:w="487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1.Diretoria, com auxílio do Controle Interno, ao aprovar os artefatos das principais contratações, verifica se foi estabelecido o alinhamento entre cada uma dessas contratações e os objetivos dos planos do Conselho.</w:t>
            </w:r>
          </w:p>
        </w:tc>
        <w:tc>
          <w:tcPr>
            <w:tcW w:w="48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  <w:vAlign w:val="cente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Diretoria e Controle Interno</w:t>
            </w:r>
          </w:p>
        </w:tc>
      </w:tr>
    </w:tbl>
    <w:p>
      <w:pPr>
        <w:pStyle w:val="Normal"/>
        <w:jc w:val="center"/>
        <w:rPr>
          <w:rFonts w:ascii="Calibri" w:hAnsi="Calibri" w:cs="Calibri"/>
          <w:b/>
          <w:b/>
          <w:bCs/>
          <w:color w:val="CE181E"/>
        </w:rPr>
      </w:pPr>
      <w:r>
        <w:rPr>
          <w:rFonts w:cs="Calibri" w:ascii="Calibri" w:hAnsi="Calibri"/>
          <w:b/>
          <w:bCs/>
          <w:color w:val="CE181E"/>
        </w:rPr>
      </w:r>
    </w:p>
    <w:tbl>
      <w:tblPr>
        <w:tblW w:w="9772" w:type="dxa"/>
        <w:jc w:val="center"/>
        <w:tblInd w:w="0" w:type="dxa"/>
        <w:tblLayout w:type="fixed"/>
        <w:tblCellMar>
          <w:top w:w="55" w:type="dxa"/>
          <w:left w:w="45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2442"/>
        <w:gridCol w:w="2437"/>
        <w:gridCol w:w="2450"/>
        <w:gridCol w:w="2442"/>
      </w:tblGrid>
      <w:tr>
        <w:trPr/>
        <w:tc>
          <w:tcPr>
            <w:tcW w:w="9771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38AB81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RISCO 3 – Requisitos desnecessários.</w:t>
            </w:r>
          </w:p>
        </w:tc>
      </w:tr>
      <w:tr>
        <w:trPr/>
        <w:tc>
          <w:tcPr>
            <w:tcW w:w="24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Probabilidade:</w:t>
            </w:r>
          </w:p>
        </w:tc>
        <w:tc>
          <w:tcPr>
            <w:tcW w:w="24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(   ) Baixa</w:t>
            </w:r>
          </w:p>
        </w:tc>
        <w:tc>
          <w:tcPr>
            <w:tcW w:w="24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(   ) Média</w:t>
            </w:r>
          </w:p>
        </w:tc>
        <w:tc>
          <w:tcPr>
            <w:tcW w:w="24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( x ) Alta</w:t>
            </w:r>
          </w:p>
        </w:tc>
      </w:tr>
      <w:tr>
        <w:trPr/>
        <w:tc>
          <w:tcPr>
            <w:tcW w:w="24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Impacto:</w:t>
            </w:r>
          </w:p>
        </w:tc>
        <w:tc>
          <w:tcPr>
            <w:tcW w:w="24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(   ) Baixa</w:t>
            </w:r>
          </w:p>
        </w:tc>
        <w:tc>
          <w:tcPr>
            <w:tcW w:w="24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( x ) Média</w:t>
            </w:r>
          </w:p>
        </w:tc>
        <w:tc>
          <w:tcPr>
            <w:tcW w:w="24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(   ) Alta</w:t>
            </w:r>
          </w:p>
        </w:tc>
      </w:tr>
      <w:tr>
        <w:trPr/>
        <w:tc>
          <w:tcPr>
            <w:tcW w:w="9771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38AB81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Dano</w:t>
            </w:r>
          </w:p>
        </w:tc>
      </w:tr>
      <w:tr>
        <w:trPr/>
        <w:tc>
          <w:tcPr>
            <w:tcW w:w="9771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color w:val="00000A"/>
                <w:spacing w:val="3"/>
                <w:sz w:val="20"/>
                <w:szCs w:val="20"/>
                <w:shd w:fill="FFFFFF" w:val="clear"/>
              </w:rPr>
              <w:t>Definição de requisitos da contratação indevidos, levando a limitação indevida da competição, com consequente elevação do preço contratado ou dependência (indevida) de um único fornecedor (no caso de inexigibilidade).</w:t>
            </w:r>
          </w:p>
          <w:p>
            <w:pPr>
              <w:pStyle w:val="Contedodatabela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color w:val="00000A"/>
                <w:spacing w:val="3"/>
                <w:sz w:val="20"/>
                <w:szCs w:val="20"/>
                <w:shd w:fill="FFFFFF" w:val="clear"/>
              </w:rPr>
              <w:t>Contratação sem realização de estudos técnicos preliminares, levando à contratação que não produz resultados capazes de atender à necessidade da administração, com consequente desperdício de recursos.</w:t>
            </w:r>
          </w:p>
        </w:tc>
      </w:tr>
      <w:tr>
        <w:trPr/>
        <w:tc>
          <w:tcPr>
            <w:tcW w:w="487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38AB81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Ação Preventiva</w:t>
            </w:r>
          </w:p>
        </w:tc>
        <w:tc>
          <w:tcPr>
            <w:tcW w:w="48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38AB81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Responsável</w:t>
            </w:r>
          </w:p>
        </w:tc>
      </w:tr>
      <w:tr>
        <w:trPr>
          <w:trHeight w:val="627" w:hRule="atLeast"/>
        </w:trPr>
        <w:tc>
          <w:tcPr>
            <w:tcW w:w="487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1. Equipe de planejamento da contratação elabora quadro identificando as soluções de mercado (produtos, fornecedores, fabricantes etc.) que atendem aos requisitos especificados e, caso a quantidade de fornecedores seja considerada restrita, verifica se os requisitos que limitam a participação são realmente indispensáveis, de modo a avaliar a retirada ou flexibilização destes requisitos.</w:t>
            </w:r>
          </w:p>
        </w:tc>
        <w:tc>
          <w:tcPr>
            <w:tcW w:w="48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  <w:vAlign w:val="cente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Equipe de Planejamento da Contratação</w:t>
            </w:r>
          </w:p>
        </w:tc>
      </w:tr>
      <w:tr>
        <w:trPr/>
        <w:tc>
          <w:tcPr>
            <w:tcW w:w="487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38AB81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Ação de Contingência</w:t>
            </w:r>
          </w:p>
        </w:tc>
        <w:tc>
          <w:tcPr>
            <w:tcW w:w="48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38AB81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Responsável</w:t>
            </w:r>
          </w:p>
        </w:tc>
      </w:tr>
      <w:tr>
        <w:trPr>
          <w:trHeight w:val="560" w:hRule="atLeast"/>
        </w:trPr>
        <w:tc>
          <w:tcPr>
            <w:tcW w:w="487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1.Assessoria jurídica não aprova o processo.</w:t>
            </w:r>
          </w:p>
        </w:tc>
        <w:tc>
          <w:tcPr>
            <w:tcW w:w="48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  <w:vAlign w:val="cente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Assessoria Jurídica</w:t>
            </w:r>
          </w:p>
        </w:tc>
      </w:tr>
    </w:tbl>
    <w:p>
      <w:pPr>
        <w:pStyle w:val="Normal"/>
        <w:jc w:val="center"/>
        <w:textAlignment w:val="baseline"/>
        <w:rPr>
          <w:rFonts w:ascii="Calibri" w:hAnsi="Calibri" w:cs="Calibri"/>
        </w:rPr>
      </w:pPr>
      <w:r>
        <w:rPr>
          <w:rFonts w:cs="Calibri" w:ascii="Calibri" w:hAnsi="Calibri"/>
        </w:rPr>
      </w:r>
    </w:p>
    <w:tbl>
      <w:tblPr>
        <w:tblW w:w="9772" w:type="dxa"/>
        <w:jc w:val="center"/>
        <w:tblInd w:w="0" w:type="dxa"/>
        <w:tblLayout w:type="fixed"/>
        <w:tblCellMar>
          <w:top w:w="55" w:type="dxa"/>
          <w:left w:w="45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2442"/>
        <w:gridCol w:w="2437"/>
        <w:gridCol w:w="2450"/>
        <w:gridCol w:w="2442"/>
      </w:tblGrid>
      <w:tr>
        <w:trPr/>
        <w:tc>
          <w:tcPr>
            <w:tcW w:w="9771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38AB81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RISCO 4 – Estimativas inadequadas de quantidades.</w:t>
            </w:r>
          </w:p>
        </w:tc>
      </w:tr>
      <w:tr>
        <w:trPr/>
        <w:tc>
          <w:tcPr>
            <w:tcW w:w="24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Probabilidade:</w:t>
            </w:r>
          </w:p>
        </w:tc>
        <w:tc>
          <w:tcPr>
            <w:tcW w:w="24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(   ) Baixa</w:t>
            </w:r>
          </w:p>
        </w:tc>
        <w:tc>
          <w:tcPr>
            <w:tcW w:w="24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(   ) Média</w:t>
            </w:r>
          </w:p>
        </w:tc>
        <w:tc>
          <w:tcPr>
            <w:tcW w:w="24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( x ) Alta</w:t>
            </w:r>
          </w:p>
        </w:tc>
      </w:tr>
      <w:tr>
        <w:trPr/>
        <w:tc>
          <w:tcPr>
            <w:tcW w:w="24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Impacto:</w:t>
            </w:r>
          </w:p>
        </w:tc>
        <w:tc>
          <w:tcPr>
            <w:tcW w:w="24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(   ) Baixa</w:t>
            </w:r>
          </w:p>
        </w:tc>
        <w:tc>
          <w:tcPr>
            <w:tcW w:w="24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( x ) Média</w:t>
            </w:r>
          </w:p>
        </w:tc>
        <w:tc>
          <w:tcPr>
            <w:tcW w:w="24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(   ) Alta</w:t>
            </w:r>
          </w:p>
        </w:tc>
      </w:tr>
      <w:tr>
        <w:trPr/>
        <w:tc>
          <w:tcPr>
            <w:tcW w:w="9771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38AB81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Dano</w:t>
            </w:r>
          </w:p>
        </w:tc>
      </w:tr>
      <w:tr>
        <w:trPr/>
        <w:tc>
          <w:tcPr>
            <w:tcW w:w="9771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color w:val="00000A"/>
                <w:spacing w:val="3"/>
                <w:sz w:val="20"/>
                <w:szCs w:val="20"/>
                <w:shd w:fill="FFFFFF" w:val="clear"/>
              </w:rPr>
              <w:t>Estimativa de quantidades maior/menor que as necessidades da organização, levando à sobra/falta de produtos ou serviços, com consequente desperdício desses itens e de recursos financeiros.</w:t>
            </w:r>
          </w:p>
          <w:p>
            <w:pPr>
              <w:pStyle w:val="Contedodatabela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color w:val="00000A"/>
                <w:spacing w:val="3"/>
                <w:sz w:val="20"/>
                <w:szCs w:val="20"/>
                <w:shd w:fill="FFFFFF" w:val="clear"/>
              </w:rPr>
              <w:t>Estimativa de quantidades menor que as necessidades da organização, levando à falta de produtos ou serviços para atender à necessidade da contração com consequente:</w:t>
            </w:r>
          </w:p>
          <w:p>
            <w:pPr>
              <w:pStyle w:val="Contedodatabela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color w:val="00000A"/>
                <w:spacing w:val="3"/>
                <w:sz w:val="20"/>
                <w:szCs w:val="20"/>
                <w:shd w:fill="FFFFFF" w:val="clear"/>
              </w:rPr>
              <w:t>a) celebração de aditivos contratuais que poderiam ter sido evitados (esses aditivos podem fazer com que o órgão sofra o efeito do “jogo de planilha”, se os preços tiverem sido manipulados pela contratada);</w:t>
            </w:r>
          </w:p>
          <w:p>
            <w:pPr>
              <w:pStyle w:val="Contedodatabela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color w:val="00000A"/>
                <w:spacing w:val="3"/>
                <w:sz w:val="20"/>
                <w:szCs w:val="20"/>
                <w:shd w:fill="FFFFFF" w:val="clear"/>
              </w:rPr>
              <w:t>b) novas contratações (por licitação ou não, se o erro de estimativa tiver sido grande, com todo o esforço administrativo decorrente);</w:t>
            </w:r>
          </w:p>
          <w:p>
            <w:pPr>
              <w:pStyle w:val="Contedodatabela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color w:val="00000A"/>
                <w:spacing w:val="3"/>
                <w:sz w:val="20"/>
                <w:szCs w:val="20"/>
                <w:shd w:fill="FFFFFF" w:val="clear"/>
              </w:rPr>
              <w:t>c) potencial quebra da padronização dos produtos contratados;</w:t>
            </w:r>
          </w:p>
          <w:p>
            <w:pPr>
              <w:pStyle w:val="Contedodatabela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color w:val="00000A"/>
                <w:spacing w:val="3"/>
                <w:sz w:val="20"/>
                <w:szCs w:val="20"/>
                <w:shd w:fill="FFFFFF" w:val="clear"/>
              </w:rPr>
              <w:t>d) perda do efeito de escala, no caso de celebração de aditivos ou de realização de novas contratações, o que leva a custo final maior do que no caso de se efetuar uma única contratação com a soma das quantidades contratadas separadamente; ou</w:t>
            </w:r>
          </w:p>
          <w:p>
            <w:pPr>
              <w:pStyle w:val="Contedodatabela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color w:val="00000A"/>
                <w:spacing w:val="3"/>
                <w:sz w:val="20"/>
                <w:szCs w:val="20"/>
                <w:shd w:fill="FFFFFF" w:val="clear"/>
              </w:rPr>
              <w:t>e) utilização de orçamento superior ao previsto, o que pode levar ao cancelamento da contratação de outros itens previstos no planejamento conjunto das contratações (3).</w:t>
            </w:r>
          </w:p>
        </w:tc>
      </w:tr>
      <w:tr>
        <w:trPr/>
        <w:tc>
          <w:tcPr>
            <w:tcW w:w="487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38AB81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Ação Preventiva</w:t>
            </w:r>
          </w:p>
        </w:tc>
        <w:tc>
          <w:tcPr>
            <w:tcW w:w="48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38AB81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Responsável</w:t>
            </w:r>
          </w:p>
        </w:tc>
      </w:tr>
      <w:tr>
        <w:trPr>
          <w:trHeight w:val="627" w:hRule="atLeast"/>
        </w:trPr>
        <w:tc>
          <w:tcPr>
            <w:tcW w:w="487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1. Equipe de planejamento da contratação deve definir método para estimar as quantidades necessárias (se preciso, deve buscar métodos e técnicas para estimar as quantidades dos itens da solução em outros órgãos/entidades) e documentar a aplicação do método no processo de contratação.</w:t>
            </w:r>
          </w:p>
          <w:p>
            <w:pPr>
              <w:pStyle w:val="Contedodatabela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2. A Equipe de planejamento da contratação deve fazer levantamento exaustivo da necessidade, de modo a diminuir o risco de celebração de aditivos ou novas contrações.</w:t>
            </w:r>
          </w:p>
          <w:p>
            <w:pPr>
              <w:pStyle w:val="Contedodatabela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3. O Fiscal do contrato de uma determinada solução deve armazenar dados da execução contratual, de modo que a equipe de planejamento da contratação que elaborar os artefatos da próxima contratação da mesma solução ou de solução similar conte com informações de contratos anteriores, o que pode facilitar a definição das quantidades e dos requisitos da nova contratação.</w:t>
            </w:r>
          </w:p>
        </w:tc>
        <w:tc>
          <w:tcPr>
            <w:tcW w:w="48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  <w:vAlign w:val="cente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Equipe de Planejamento da Contratação</w:t>
            </w:r>
          </w:p>
        </w:tc>
      </w:tr>
      <w:tr>
        <w:trPr/>
        <w:tc>
          <w:tcPr>
            <w:tcW w:w="487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38AB81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Ação de Contingência</w:t>
            </w:r>
          </w:p>
        </w:tc>
        <w:tc>
          <w:tcPr>
            <w:tcW w:w="48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38AB81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Responsável</w:t>
            </w:r>
          </w:p>
        </w:tc>
      </w:tr>
      <w:tr>
        <w:trPr>
          <w:trHeight w:val="560" w:hRule="atLeast"/>
        </w:trPr>
        <w:tc>
          <w:tcPr>
            <w:tcW w:w="487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1. Assessoria jurídica não aprova processo de contratação que não contenha, nos autos, a memória de cálculo das quantidades dos itens que serão contratados.</w:t>
            </w:r>
          </w:p>
        </w:tc>
        <w:tc>
          <w:tcPr>
            <w:tcW w:w="48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  <w:vAlign w:val="cente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Assessoria Jurídica</w:t>
            </w:r>
          </w:p>
        </w:tc>
      </w:tr>
    </w:tbl>
    <w:p>
      <w:pPr>
        <w:pStyle w:val="Normal"/>
        <w:jc w:val="center"/>
        <w:textAlignment w:val="baseline"/>
        <w:rPr>
          <w:rFonts w:ascii="Calibri" w:hAnsi="Calibri" w:cs="Calibri"/>
        </w:rPr>
      </w:pPr>
      <w:r>
        <w:rPr>
          <w:rFonts w:cs="Calibri" w:ascii="Calibri" w:hAnsi="Calibri"/>
        </w:rPr>
      </w:r>
    </w:p>
    <w:tbl>
      <w:tblPr>
        <w:tblW w:w="9772" w:type="dxa"/>
        <w:jc w:val="center"/>
        <w:tblInd w:w="0" w:type="dxa"/>
        <w:tblLayout w:type="fixed"/>
        <w:tblCellMar>
          <w:top w:w="55" w:type="dxa"/>
          <w:left w:w="45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2442"/>
        <w:gridCol w:w="2437"/>
        <w:gridCol w:w="2450"/>
        <w:gridCol w:w="2442"/>
      </w:tblGrid>
      <w:tr>
        <w:trPr/>
        <w:tc>
          <w:tcPr>
            <w:tcW w:w="9771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38AB81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RISCO 5 – Estimativas inadequadas de preços.</w:t>
            </w:r>
          </w:p>
        </w:tc>
      </w:tr>
      <w:tr>
        <w:trPr/>
        <w:tc>
          <w:tcPr>
            <w:tcW w:w="24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Probabilidade:</w:t>
            </w:r>
          </w:p>
        </w:tc>
        <w:tc>
          <w:tcPr>
            <w:tcW w:w="24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( x ) Baixa</w:t>
            </w:r>
          </w:p>
        </w:tc>
        <w:tc>
          <w:tcPr>
            <w:tcW w:w="24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(   ) Média</w:t>
            </w:r>
          </w:p>
        </w:tc>
        <w:tc>
          <w:tcPr>
            <w:tcW w:w="24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(   ) Alta</w:t>
            </w:r>
          </w:p>
        </w:tc>
      </w:tr>
      <w:tr>
        <w:trPr/>
        <w:tc>
          <w:tcPr>
            <w:tcW w:w="24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Impacto:</w:t>
            </w:r>
          </w:p>
        </w:tc>
        <w:tc>
          <w:tcPr>
            <w:tcW w:w="24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(   ) Baixa</w:t>
            </w:r>
          </w:p>
        </w:tc>
        <w:tc>
          <w:tcPr>
            <w:tcW w:w="24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( x ) Média</w:t>
            </w:r>
          </w:p>
        </w:tc>
        <w:tc>
          <w:tcPr>
            <w:tcW w:w="24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(   ) Alta</w:t>
            </w:r>
          </w:p>
        </w:tc>
      </w:tr>
      <w:tr>
        <w:trPr/>
        <w:tc>
          <w:tcPr>
            <w:tcW w:w="9771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38AB81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Dano</w:t>
            </w:r>
          </w:p>
        </w:tc>
      </w:tr>
      <w:tr>
        <w:trPr/>
        <w:tc>
          <w:tcPr>
            <w:tcW w:w="9771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color w:val="00000A"/>
                <w:spacing w:val="3"/>
                <w:sz w:val="20"/>
                <w:szCs w:val="20"/>
                <w:shd w:fill="FFFFFF" w:val="clear"/>
              </w:rPr>
              <w:t>Coleta insuficiente de preços ou falta de método para realizar a estimativa, levando a estimativas inadequadas, com consequente utilização de parâmetro inadequado para análise da viabilidade da contratação e dificuldade de justificar as estimativas quando questionados por partes interessadas.</w:t>
            </w:r>
          </w:p>
        </w:tc>
      </w:tr>
      <w:tr>
        <w:trPr/>
        <w:tc>
          <w:tcPr>
            <w:tcW w:w="487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38AB81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Ação Preventiva</w:t>
            </w:r>
          </w:p>
        </w:tc>
        <w:tc>
          <w:tcPr>
            <w:tcW w:w="48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38AB81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Responsável</w:t>
            </w:r>
          </w:p>
        </w:tc>
      </w:tr>
      <w:tr>
        <w:trPr>
          <w:trHeight w:val="627" w:hRule="atLeast"/>
        </w:trPr>
        <w:tc>
          <w:tcPr>
            <w:tcW w:w="487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1. O Conselho deve publicar normativo estabelecendo procedimento consistente para elaboração de estimativas de preço.</w:t>
            </w:r>
          </w:p>
        </w:tc>
        <w:tc>
          <w:tcPr>
            <w:tcW w:w="48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  <w:vAlign w:val="cente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Diretoria</w:t>
            </w:r>
          </w:p>
        </w:tc>
      </w:tr>
      <w:tr>
        <w:trPr/>
        <w:tc>
          <w:tcPr>
            <w:tcW w:w="487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38AB81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Ação de Contingência</w:t>
            </w:r>
          </w:p>
        </w:tc>
        <w:tc>
          <w:tcPr>
            <w:tcW w:w="48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38AB81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Responsável</w:t>
            </w:r>
          </w:p>
        </w:tc>
      </w:tr>
      <w:tr>
        <w:trPr>
          <w:trHeight w:val="560" w:hRule="atLeast"/>
        </w:trPr>
        <w:tc>
          <w:tcPr>
            <w:tcW w:w="487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1. A equipe de planejamento da contratação deve elaborar memória de cálculo das estimativas de preço, considerando uma cesta de preços conforme IN 65/2021</w:t>
            </w:r>
          </w:p>
        </w:tc>
        <w:tc>
          <w:tcPr>
            <w:tcW w:w="48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  <w:vAlign w:val="cente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Análise Técnica e Compras</w:t>
            </w:r>
          </w:p>
        </w:tc>
      </w:tr>
    </w:tbl>
    <w:p>
      <w:pPr>
        <w:pStyle w:val="Normal"/>
        <w:jc w:val="center"/>
        <w:textAlignment w:val="baseline"/>
        <w:rPr>
          <w:rFonts w:ascii="Calibri" w:hAnsi="Calibri" w:cs="Calibri"/>
        </w:rPr>
      </w:pPr>
      <w:r>
        <w:rPr>
          <w:rFonts w:cs="Calibri" w:ascii="Calibri" w:hAnsi="Calibri"/>
        </w:rPr>
      </w:r>
    </w:p>
    <w:tbl>
      <w:tblPr>
        <w:tblW w:w="9772" w:type="dxa"/>
        <w:jc w:val="center"/>
        <w:tblInd w:w="0" w:type="dxa"/>
        <w:tblLayout w:type="fixed"/>
        <w:tblCellMar>
          <w:top w:w="55" w:type="dxa"/>
          <w:left w:w="45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2442"/>
        <w:gridCol w:w="2437"/>
        <w:gridCol w:w="2450"/>
        <w:gridCol w:w="2442"/>
      </w:tblGrid>
      <w:tr>
        <w:trPr/>
        <w:tc>
          <w:tcPr>
            <w:tcW w:w="9771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38AB81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RISCO 6 – Falta de abrangência da análise de viabilidade contratação.</w:t>
            </w:r>
          </w:p>
        </w:tc>
      </w:tr>
      <w:tr>
        <w:trPr/>
        <w:tc>
          <w:tcPr>
            <w:tcW w:w="24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Probabilidade:</w:t>
            </w:r>
          </w:p>
        </w:tc>
        <w:tc>
          <w:tcPr>
            <w:tcW w:w="24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( x ) Baixa</w:t>
            </w:r>
          </w:p>
        </w:tc>
        <w:tc>
          <w:tcPr>
            <w:tcW w:w="24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(   ) Média</w:t>
            </w:r>
          </w:p>
        </w:tc>
        <w:tc>
          <w:tcPr>
            <w:tcW w:w="24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(   ) Alta</w:t>
            </w:r>
          </w:p>
        </w:tc>
      </w:tr>
      <w:tr>
        <w:trPr/>
        <w:tc>
          <w:tcPr>
            <w:tcW w:w="24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Impacto:</w:t>
            </w:r>
          </w:p>
        </w:tc>
        <w:tc>
          <w:tcPr>
            <w:tcW w:w="24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(   ) Baixa</w:t>
            </w:r>
          </w:p>
        </w:tc>
        <w:tc>
          <w:tcPr>
            <w:tcW w:w="24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(   ) Média</w:t>
            </w:r>
          </w:p>
        </w:tc>
        <w:tc>
          <w:tcPr>
            <w:tcW w:w="24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( x ) Alta</w:t>
            </w:r>
          </w:p>
        </w:tc>
      </w:tr>
      <w:tr>
        <w:trPr/>
        <w:tc>
          <w:tcPr>
            <w:tcW w:w="9771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38AB81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Dano</w:t>
            </w:r>
          </w:p>
        </w:tc>
      </w:tr>
      <w:tr>
        <w:trPr/>
        <w:tc>
          <w:tcPr>
            <w:tcW w:w="9771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color w:val="00000A"/>
                <w:spacing w:val="3"/>
                <w:sz w:val="20"/>
                <w:szCs w:val="20"/>
                <w:shd w:fill="FFFFFF" w:val="clear"/>
              </w:rPr>
              <w:t>Falta de abrangência da análise de viabilidade da contratação, levando a não considerar todos os aspectos necessários à análise, com consequente não contratação ou contratação de fornecedor que não é capaz de entregar a solução contratada ou a solução que não produz resultados capazes de atender às necessidades que originaram a contratação.</w:t>
            </w:r>
          </w:p>
        </w:tc>
      </w:tr>
      <w:tr>
        <w:trPr/>
        <w:tc>
          <w:tcPr>
            <w:tcW w:w="487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38AB81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Ação Preventiva</w:t>
            </w:r>
          </w:p>
        </w:tc>
        <w:tc>
          <w:tcPr>
            <w:tcW w:w="48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38AB81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Responsável</w:t>
            </w:r>
          </w:p>
        </w:tc>
      </w:tr>
      <w:tr>
        <w:trPr>
          <w:trHeight w:val="627" w:hRule="atLeast"/>
        </w:trPr>
        <w:tc>
          <w:tcPr>
            <w:tcW w:w="487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1. Equipe de planejamento elabora lista de verificação (checklist) para servir como base das justificativas expostas na conclusão da análise de viabilidade da contratação.</w:t>
            </w:r>
          </w:p>
        </w:tc>
        <w:tc>
          <w:tcPr>
            <w:tcW w:w="48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  <w:vAlign w:val="cente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Equipe de Planejamento</w:t>
            </w:r>
          </w:p>
        </w:tc>
      </w:tr>
      <w:tr>
        <w:trPr/>
        <w:tc>
          <w:tcPr>
            <w:tcW w:w="487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38AB81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Ação de Contingência</w:t>
            </w:r>
          </w:p>
        </w:tc>
        <w:tc>
          <w:tcPr>
            <w:tcW w:w="48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38AB81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Responsável</w:t>
            </w:r>
          </w:p>
        </w:tc>
      </w:tr>
      <w:tr>
        <w:trPr>
          <w:trHeight w:val="560" w:hRule="atLeast"/>
        </w:trPr>
        <w:tc>
          <w:tcPr>
            <w:tcW w:w="487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1. Assessoria jurídica não aprova processo de contratação que não contenha, nos autos, a declaração de viabilidade da equipe de planejamento.</w:t>
            </w:r>
          </w:p>
        </w:tc>
        <w:tc>
          <w:tcPr>
            <w:tcW w:w="48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  <w:vAlign w:val="cente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Assessoria Jurídica</w:t>
            </w:r>
          </w:p>
        </w:tc>
      </w:tr>
    </w:tbl>
    <w:p>
      <w:pPr>
        <w:pStyle w:val="Normal"/>
        <w:jc w:val="center"/>
        <w:textAlignment w:val="baseline"/>
        <w:rPr>
          <w:rFonts w:ascii="Calibri" w:hAnsi="Calibri" w:cs="Calibri"/>
        </w:rPr>
      </w:pPr>
      <w:r>
        <w:rPr>
          <w:rFonts w:cs="Calibri" w:ascii="Calibri" w:hAnsi="Calibri"/>
        </w:rPr>
      </w:r>
    </w:p>
    <w:tbl>
      <w:tblPr>
        <w:tblW w:w="9772" w:type="dxa"/>
        <w:jc w:val="center"/>
        <w:tblInd w:w="0" w:type="dxa"/>
        <w:tblLayout w:type="fixed"/>
        <w:tblCellMar>
          <w:top w:w="55" w:type="dxa"/>
          <w:left w:w="45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2442"/>
        <w:gridCol w:w="2437"/>
        <w:gridCol w:w="2450"/>
        <w:gridCol w:w="2442"/>
      </w:tblGrid>
      <w:tr>
        <w:trPr/>
        <w:tc>
          <w:tcPr>
            <w:tcW w:w="9771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38AB81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RISCO 7 – Ausência de padronização dos editais.</w:t>
            </w:r>
          </w:p>
        </w:tc>
      </w:tr>
      <w:tr>
        <w:trPr/>
        <w:tc>
          <w:tcPr>
            <w:tcW w:w="24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Probabilidade:</w:t>
            </w:r>
          </w:p>
        </w:tc>
        <w:tc>
          <w:tcPr>
            <w:tcW w:w="24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( x ) Baixa</w:t>
            </w:r>
          </w:p>
        </w:tc>
        <w:tc>
          <w:tcPr>
            <w:tcW w:w="24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(   ) Média</w:t>
            </w:r>
          </w:p>
        </w:tc>
        <w:tc>
          <w:tcPr>
            <w:tcW w:w="24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(   ) Alta</w:t>
            </w:r>
          </w:p>
        </w:tc>
      </w:tr>
      <w:tr>
        <w:trPr/>
        <w:tc>
          <w:tcPr>
            <w:tcW w:w="24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Impacto:</w:t>
            </w:r>
          </w:p>
        </w:tc>
        <w:tc>
          <w:tcPr>
            <w:tcW w:w="24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(   ) Baixa</w:t>
            </w:r>
          </w:p>
        </w:tc>
        <w:tc>
          <w:tcPr>
            <w:tcW w:w="24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( x ) Média</w:t>
            </w:r>
          </w:p>
        </w:tc>
        <w:tc>
          <w:tcPr>
            <w:tcW w:w="24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(   ) Alta</w:t>
            </w:r>
          </w:p>
        </w:tc>
      </w:tr>
      <w:tr>
        <w:trPr/>
        <w:tc>
          <w:tcPr>
            <w:tcW w:w="9771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38AB81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Dano</w:t>
            </w:r>
          </w:p>
        </w:tc>
      </w:tr>
      <w:tr>
        <w:trPr/>
        <w:tc>
          <w:tcPr>
            <w:tcW w:w="9771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color w:val="00000A"/>
                <w:spacing w:val="3"/>
                <w:sz w:val="20"/>
                <w:szCs w:val="20"/>
                <w:shd w:fill="FFFFFF" w:val="clear"/>
              </w:rPr>
              <w:t>Licitações com editais não padronizados, elaborados ad hoc, levando a multiplicidade de esforços para realizar licitações de objetos correlatos, com consequente esforço desnecessário para elaborar editais e repetição de erros.</w:t>
            </w:r>
          </w:p>
        </w:tc>
      </w:tr>
      <w:tr>
        <w:trPr/>
        <w:tc>
          <w:tcPr>
            <w:tcW w:w="487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38AB81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Ação Preventiva</w:t>
            </w:r>
          </w:p>
        </w:tc>
        <w:tc>
          <w:tcPr>
            <w:tcW w:w="48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38AB81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Responsável</w:t>
            </w:r>
          </w:p>
        </w:tc>
      </w:tr>
      <w:tr>
        <w:trPr>
          <w:trHeight w:val="627" w:hRule="atLeast"/>
        </w:trPr>
        <w:tc>
          <w:tcPr>
            <w:tcW w:w="487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1. Utilizar minutas padronizadas da AGU.</w:t>
            </w:r>
          </w:p>
        </w:tc>
        <w:tc>
          <w:tcPr>
            <w:tcW w:w="48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  <w:vAlign w:val="cente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Licitações e Contratos</w:t>
            </w:r>
          </w:p>
        </w:tc>
      </w:tr>
      <w:tr>
        <w:trPr/>
        <w:tc>
          <w:tcPr>
            <w:tcW w:w="487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38AB81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Ação de Contingência</w:t>
            </w:r>
          </w:p>
        </w:tc>
        <w:tc>
          <w:tcPr>
            <w:tcW w:w="48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38AB81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Responsável</w:t>
            </w:r>
          </w:p>
        </w:tc>
      </w:tr>
      <w:tr>
        <w:trPr>
          <w:trHeight w:val="560" w:hRule="atLeast"/>
        </w:trPr>
        <w:tc>
          <w:tcPr>
            <w:tcW w:w="487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1. Assessoria jurídica ratifica a necessidade de utilização dos modelos da AGU.</w:t>
            </w:r>
          </w:p>
        </w:tc>
        <w:tc>
          <w:tcPr>
            <w:tcW w:w="48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  <w:vAlign w:val="cente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Assessoria Jurídica</w:t>
            </w:r>
          </w:p>
        </w:tc>
      </w:tr>
    </w:tbl>
    <w:p>
      <w:pPr>
        <w:pStyle w:val="Normal"/>
        <w:jc w:val="center"/>
        <w:textAlignment w:val="baseline"/>
        <w:rPr>
          <w:rFonts w:ascii="Calibri" w:hAnsi="Calibri" w:cs="Calibri"/>
        </w:rPr>
      </w:pPr>
      <w:r>
        <w:rPr>
          <w:rFonts w:cs="Calibri" w:ascii="Calibri" w:hAnsi="Calibri"/>
        </w:rPr>
      </w:r>
    </w:p>
    <w:tbl>
      <w:tblPr>
        <w:tblW w:w="9772" w:type="dxa"/>
        <w:jc w:val="center"/>
        <w:tblInd w:w="0" w:type="dxa"/>
        <w:tblLayout w:type="fixed"/>
        <w:tblCellMar>
          <w:top w:w="55" w:type="dxa"/>
          <w:left w:w="45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2442"/>
        <w:gridCol w:w="2437"/>
        <w:gridCol w:w="2450"/>
        <w:gridCol w:w="2442"/>
      </w:tblGrid>
      <w:tr>
        <w:trPr/>
        <w:tc>
          <w:tcPr>
            <w:tcW w:w="9771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38AB81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RISCO 8 – Falta de recursos financeiros para cumprimento das obrigações.</w:t>
            </w:r>
          </w:p>
        </w:tc>
      </w:tr>
      <w:tr>
        <w:trPr/>
        <w:tc>
          <w:tcPr>
            <w:tcW w:w="24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Probabilidade:</w:t>
            </w:r>
          </w:p>
        </w:tc>
        <w:tc>
          <w:tcPr>
            <w:tcW w:w="24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( x ) Baixa</w:t>
            </w:r>
          </w:p>
        </w:tc>
        <w:tc>
          <w:tcPr>
            <w:tcW w:w="24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(   ) Média</w:t>
            </w:r>
          </w:p>
        </w:tc>
        <w:tc>
          <w:tcPr>
            <w:tcW w:w="24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(   ) Alta</w:t>
            </w:r>
          </w:p>
        </w:tc>
      </w:tr>
      <w:tr>
        <w:trPr/>
        <w:tc>
          <w:tcPr>
            <w:tcW w:w="24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Impacto:</w:t>
            </w:r>
          </w:p>
        </w:tc>
        <w:tc>
          <w:tcPr>
            <w:tcW w:w="24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(   ) Baixa</w:t>
            </w:r>
          </w:p>
        </w:tc>
        <w:tc>
          <w:tcPr>
            <w:tcW w:w="24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(   ) Média</w:t>
            </w:r>
          </w:p>
        </w:tc>
        <w:tc>
          <w:tcPr>
            <w:tcW w:w="24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( x ) Alta</w:t>
            </w:r>
          </w:p>
        </w:tc>
      </w:tr>
      <w:tr>
        <w:trPr/>
        <w:tc>
          <w:tcPr>
            <w:tcW w:w="9771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38AB81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Dano</w:t>
            </w:r>
          </w:p>
        </w:tc>
      </w:tr>
      <w:tr>
        <w:trPr/>
        <w:tc>
          <w:tcPr>
            <w:tcW w:w="9771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color w:val="00000A"/>
                <w:spacing w:val="3"/>
                <w:sz w:val="20"/>
                <w:szCs w:val="20"/>
                <w:shd w:fill="FFFFFF" w:val="clear"/>
              </w:rPr>
              <w:t>A falta de empenho realizado para a aquisição do objeto poderá inviabilizar o pagamento.</w:t>
            </w:r>
          </w:p>
        </w:tc>
      </w:tr>
      <w:tr>
        <w:trPr/>
        <w:tc>
          <w:tcPr>
            <w:tcW w:w="487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38AB81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Ação Preventiva</w:t>
            </w:r>
          </w:p>
        </w:tc>
        <w:tc>
          <w:tcPr>
            <w:tcW w:w="48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38AB81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Responsável</w:t>
            </w:r>
          </w:p>
        </w:tc>
      </w:tr>
      <w:tr>
        <w:trPr>
          <w:trHeight w:val="627" w:hRule="atLeast"/>
        </w:trPr>
        <w:tc>
          <w:tcPr>
            <w:tcW w:w="487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1. Empenhar recursos suficientes para as obrigações financeiras.</w:t>
            </w:r>
          </w:p>
        </w:tc>
        <w:tc>
          <w:tcPr>
            <w:tcW w:w="48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  <w:vAlign w:val="cente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Gerente da Contabilidade com o aval do Diretor Tesoureiro</w:t>
            </w:r>
          </w:p>
        </w:tc>
      </w:tr>
      <w:tr>
        <w:trPr/>
        <w:tc>
          <w:tcPr>
            <w:tcW w:w="487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38AB81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Ação de Contingência</w:t>
            </w:r>
          </w:p>
        </w:tc>
        <w:tc>
          <w:tcPr>
            <w:tcW w:w="48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38AB81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Responsável</w:t>
            </w:r>
          </w:p>
        </w:tc>
      </w:tr>
      <w:tr>
        <w:trPr>
          <w:trHeight w:val="560" w:hRule="atLeast"/>
        </w:trPr>
        <w:tc>
          <w:tcPr>
            <w:tcW w:w="487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1.Providenciar complementação/subscrição de recursos.</w:t>
            </w:r>
          </w:p>
        </w:tc>
        <w:tc>
          <w:tcPr>
            <w:tcW w:w="48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  <w:vAlign w:val="cente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Gerente da Contabilidade com o aval do Diretor Tesoureiro</w:t>
            </w:r>
          </w:p>
        </w:tc>
      </w:tr>
    </w:tbl>
    <w:p>
      <w:pPr>
        <w:pStyle w:val="Normal"/>
        <w:jc w:val="center"/>
        <w:textAlignment w:val="baseline"/>
        <w:rPr>
          <w:rFonts w:ascii="Calibri" w:hAnsi="Calibri" w:cs="Calibri"/>
        </w:rPr>
      </w:pPr>
      <w:r>
        <w:rPr>
          <w:rFonts w:cs="Calibri" w:ascii="Calibri" w:hAnsi="Calibri"/>
        </w:rPr>
      </w:r>
    </w:p>
    <w:tbl>
      <w:tblPr>
        <w:tblW w:w="9770" w:type="dxa"/>
        <w:jc w:val="center"/>
        <w:tblInd w:w="0" w:type="dxa"/>
        <w:tblLayout w:type="fixed"/>
        <w:tblCellMar>
          <w:top w:w="55" w:type="dxa"/>
          <w:left w:w="45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2421"/>
        <w:gridCol w:w="2454"/>
        <w:gridCol w:w="2447"/>
        <w:gridCol w:w="2447"/>
      </w:tblGrid>
      <w:tr>
        <w:trPr/>
        <w:tc>
          <w:tcPr>
            <w:tcW w:w="9769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38AB81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RISCO 9 – Selecionar fornecedor inadequado.</w:t>
            </w:r>
          </w:p>
        </w:tc>
      </w:tr>
      <w:tr>
        <w:trPr/>
        <w:tc>
          <w:tcPr>
            <w:tcW w:w="24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Probabilidade:</w:t>
            </w:r>
          </w:p>
        </w:tc>
        <w:tc>
          <w:tcPr>
            <w:tcW w:w="24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( x ) Baixa</w:t>
            </w:r>
          </w:p>
        </w:tc>
        <w:tc>
          <w:tcPr>
            <w:tcW w:w="24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(   ) Média</w:t>
            </w:r>
          </w:p>
        </w:tc>
        <w:tc>
          <w:tcPr>
            <w:tcW w:w="24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(    ) Alta</w:t>
            </w:r>
          </w:p>
        </w:tc>
      </w:tr>
      <w:tr>
        <w:trPr/>
        <w:tc>
          <w:tcPr>
            <w:tcW w:w="24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Impacto:</w:t>
            </w:r>
          </w:p>
        </w:tc>
        <w:tc>
          <w:tcPr>
            <w:tcW w:w="24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(    ) Baixa</w:t>
            </w:r>
          </w:p>
        </w:tc>
        <w:tc>
          <w:tcPr>
            <w:tcW w:w="24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(   ) Média</w:t>
            </w:r>
          </w:p>
        </w:tc>
        <w:tc>
          <w:tcPr>
            <w:tcW w:w="24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( x ) Alta</w:t>
            </w:r>
          </w:p>
        </w:tc>
      </w:tr>
      <w:tr>
        <w:trPr/>
        <w:tc>
          <w:tcPr>
            <w:tcW w:w="9769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38AB81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Dano</w:t>
            </w:r>
          </w:p>
        </w:tc>
      </w:tr>
      <w:tr>
        <w:trPr/>
        <w:tc>
          <w:tcPr>
            <w:tcW w:w="9769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color w:val="00000A"/>
                <w:spacing w:val="3"/>
                <w:sz w:val="20"/>
                <w:szCs w:val="20"/>
                <w:shd w:fill="FFFFFF" w:val="clear"/>
              </w:rPr>
              <w:t>Adjudicar e homologar o objeto à empresa com incapacidade técnica para fornecimento do objeto conforme estabelecido no Termo de Referência.</w:t>
            </w:r>
          </w:p>
        </w:tc>
      </w:tr>
      <w:tr>
        <w:trPr/>
        <w:tc>
          <w:tcPr>
            <w:tcW w:w="487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38AB81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Ação Preventiva</w:t>
            </w:r>
          </w:p>
        </w:tc>
        <w:tc>
          <w:tcPr>
            <w:tcW w:w="489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38AB81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Responsável</w:t>
            </w:r>
          </w:p>
        </w:tc>
      </w:tr>
      <w:tr>
        <w:trPr>
          <w:trHeight w:val="627" w:hRule="atLeast"/>
        </w:trPr>
        <w:tc>
          <w:tcPr>
            <w:tcW w:w="487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1. Especificar no Termo de Referência as exigências para que a empresa tenha condições de realizar o fornecimento do objeto com o nível de conformidade necessário.</w:t>
            </w:r>
          </w:p>
        </w:tc>
        <w:tc>
          <w:tcPr>
            <w:tcW w:w="489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  <w:vAlign w:val="cente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Á</w:t>
            </w:r>
            <w:bookmarkStart w:id="0" w:name="__DdeLink__1283_2421866671"/>
            <w:r>
              <w:rPr>
                <w:rFonts w:cs="Calibri" w:ascii="Calibri" w:hAnsi="Calibri"/>
                <w:sz w:val="20"/>
                <w:szCs w:val="20"/>
              </w:rPr>
              <w:t>rea de Análise Técnica e Compras</w:t>
            </w:r>
            <w:bookmarkEnd w:id="0"/>
          </w:p>
        </w:tc>
      </w:tr>
      <w:tr>
        <w:trPr/>
        <w:tc>
          <w:tcPr>
            <w:tcW w:w="487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38AB81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Ação de Contingência</w:t>
            </w:r>
          </w:p>
        </w:tc>
        <w:tc>
          <w:tcPr>
            <w:tcW w:w="489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38AB81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Responsável</w:t>
            </w:r>
          </w:p>
        </w:tc>
      </w:tr>
      <w:tr>
        <w:trPr>
          <w:trHeight w:val="873" w:hRule="atLeast"/>
        </w:trPr>
        <w:tc>
          <w:tcPr>
            <w:tcW w:w="487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 xml:space="preserve">1. Verificar durante o processo se </w:t>
            </w:r>
            <w:r>
              <w:rPr>
                <w:rFonts w:eastAsia="SimSun;宋体" w:cs="Calibri" w:ascii="Calibri" w:hAnsi="Calibri"/>
                <w:color w:val="00000A"/>
                <w:sz w:val="20"/>
                <w:szCs w:val="20"/>
              </w:rPr>
              <w:t>a empresa encaminhou</w:t>
            </w:r>
            <w:r>
              <w:rPr>
                <w:rFonts w:cs="Calibri" w:ascii="Calibri" w:hAnsi="Calibri"/>
                <w:sz w:val="20"/>
                <w:szCs w:val="20"/>
              </w:rPr>
              <w:t xml:space="preserve"> toda documentação solicitada.</w:t>
            </w:r>
          </w:p>
          <w:p>
            <w:pPr>
              <w:pStyle w:val="Contedodatabela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2. Desclassificar empresas que não atenderem os quesitos solicitados no Termo de Referência, garantindo-lhes o direito de defesa.</w:t>
            </w:r>
          </w:p>
        </w:tc>
        <w:tc>
          <w:tcPr>
            <w:tcW w:w="489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color w:val="000000"/>
                <w:sz w:val="20"/>
                <w:szCs w:val="20"/>
                <w:shd w:fill="FFFFFF" w:val="clear"/>
              </w:rPr>
              <w:t>Área de Análise Técnica e Compras</w:t>
            </w:r>
          </w:p>
        </w:tc>
      </w:tr>
    </w:tbl>
    <w:p>
      <w:pPr>
        <w:pStyle w:val="Normal"/>
        <w:jc w:val="center"/>
        <w:textAlignment w:val="baseline"/>
        <w:rPr>
          <w:rFonts w:ascii="Calibri" w:hAnsi="Calibri" w:cs="Calibri"/>
        </w:rPr>
      </w:pPr>
      <w:r>
        <w:rPr>
          <w:rFonts w:cs="Calibri" w:ascii="Calibri" w:hAnsi="Calibri"/>
        </w:rPr>
      </w:r>
    </w:p>
    <w:tbl>
      <w:tblPr>
        <w:tblW w:w="9770" w:type="dxa"/>
        <w:jc w:val="center"/>
        <w:tblInd w:w="0" w:type="dxa"/>
        <w:tblLayout w:type="fixed"/>
        <w:tblCellMar>
          <w:top w:w="55" w:type="dxa"/>
          <w:left w:w="45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2421"/>
        <w:gridCol w:w="2454"/>
        <w:gridCol w:w="2447"/>
        <w:gridCol w:w="2447"/>
      </w:tblGrid>
      <w:tr>
        <w:trPr/>
        <w:tc>
          <w:tcPr>
            <w:tcW w:w="9769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38AB81" w:val="clear"/>
          </w:tcPr>
          <w:p>
            <w:pPr>
              <w:pStyle w:val="Contedodatabela"/>
              <w:widowControl w:val="false"/>
              <w:shd w:val="clear" w:color="auto" w:fill="38AB81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RISCO 10 – Demanda equivocada. Não verificar a real necessidade.</w:t>
            </w:r>
          </w:p>
        </w:tc>
      </w:tr>
      <w:tr>
        <w:trPr/>
        <w:tc>
          <w:tcPr>
            <w:tcW w:w="24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Probabilidade:</w:t>
            </w:r>
          </w:p>
        </w:tc>
        <w:tc>
          <w:tcPr>
            <w:tcW w:w="24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(   ) Baixa</w:t>
            </w:r>
          </w:p>
        </w:tc>
        <w:tc>
          <w:tcPr>
            <w:tcW w:w="24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( x ) Média</w:t>
            </w:r>
          </w:p>
        </w:tc>
        <w:tc>
          <w:tcPr>
            <w:tcW w:w="24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(   ) Alta</w:t>
            </w:r>
          </w:p>
        </w:tc>
      </w:tr>
      <w:tr>
        <w:trPr/>
        <w:tc>
          <w:tcPr>
            <w:tcW w:w="24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Impacto:</w:t>
            </w:r>
          </w:p>
        </w:tc>
        <w:tc>
          <w:tcPr>
            <w:tcW w:w="24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(   ) Baixa</w:t>
            </w:r>
          </w:p>
        </w:tc>
        <w:tc>
          <w:tcPr>
            <w:tcW w:w="24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( x ) Média</w:t>
            </w:r>
          </w:p>
        </w:tc>
        <w:tc>
          <w:tcPr>
            <w:tcW w:w="24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(   ) Alta</w:t>
            </w:r>
          </w:p>
        </w:tc>
      </w:tr>
      <w:tr>
        <w:trPr/>
        <w:tc>
          <w:tcPr>
            <w:tcW w:w="9769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38AB81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Dano</w:t>
            </w:r>
          </w:p>
        </w:tc>
      </w:tr>
      <w:tr>
        <w:trPr/>
        <w:tc>
          <w:tcPr>
            <w:tcW w:w="9769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color w:val="00000A"/>
                <w:spacing w:val="3"/>
                <w:sz w:val="20"/>
                <w:szCs w:val="20"/>
                <w:shd w:fill="FFFFFF" w:val="clear"/>
              </w:rPr>
              <w:t>1. Falta de planejamento das áreas requisitantes.</w:t>
            </w:r>
          </w:p>
          <w:p>
            <w:pPr>
              <w:pStyle w:val="Contedodatabela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color w:val="00000A"/>
                <w:spacing w:val="3"/>
                <w:sz w:val="20"/>
                <w:szCs w:val="20"/>
                <w:shd w:fill="FFFFFF" w:val="clear"/>
              </w:rPr>
              <w:t>2. Erro na solicitação da demanda.</w:t>
            </w:r>
          </w:p>
        </w:tc>
      </w:tr>
      <w:tr>
        <w:trPr/>
        <w:tc>
          <w:tcPr>
            <w:tcW w:w="487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38AB81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Ação Preventiva</w:t>
            </w:r>
          </w:p>
        </w:tc>
        <w:tc>
          <w:tcPr>
            <w:tcW w:w="489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38AB81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Responsável</w:t>
            </w:r>
          </w:p>
        </w:tc>
      </w:tr>
      <w:tr>
        <w:trPr>
          <w:trHeight w:val="627" w:hRule="atLeast"/>
        </w:trPr>
        <w:tc>
          <w:tcPr>
            <w:tcW w:w="487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1. Elaboração de formulários detalhados para as áreas requisitantes preencherem.</w:t>
            </w:r>
          </w:p>
        </w:tc>
        <w:tc>
          <w:tcPr>
            <w:tcW w:w="489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Área de Análise Técnica e Compras</w:t>
            </w:r>
          </w:p>
        </w:tc>
      </w:tr>
      <w:tr>
        <w:trPr/>
        <w:tc>
          <w:tcPr>
            <w:tcW w:w="487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38AB81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Ação de Contingência</w:t>
            </w:r>
          </w:p>
        </w:tc>
        <w:tc>
          <w:tcPr>
            <w:tcW w:w="489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38AB81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Responsável</w:t>
            </w:r>
          </w:p>
        </w:tc>
      </w:tr>
      <w:tr>
        <w:trPr>
          <w:trHeight w:val="826" w:hRule="atLeast"/>
        </w:trPr>
        <w:tc>
          <w:tcPr>
            <w:tcW w:w="487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1. Participação das áreas requisitantes em reuniões para melhor definir o objeto, assim como todos os detalhamentos.</w:t>
            </w:r>
          </w:p>
        </w:tc>
        <w:tc>
          <w:tcPr>
            <w:tcW w:w="489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  <w:vAlign w:val="cente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color w:val="000000"/>
                <w:sz w:val="20"/>
                <w:szCs w:val="20"/>
                <w:shd w:fill="FFFFFF" w:val="clear"/>
              </w:rPr>
              <w:t>Área de Análise Técnica e Compras e Demandantes</w:t>
            </w:r>
          </w:p>
        </w:tc>
      </w:tr>
    </w:tbl>
    <w:p>
      <w:pPr>
        <w:pStyle w:val="Normal"/>
        <w:rPr/>
      </w:pPr>
      <w:r>
        <w:rPr/>
      </w:r>
    </w:p>
    <w:tbl>
      <w:tblPr>
        <w:tblW w:w="9771" w:type="dxa"/>
        <w:jc w:val="center"/>
        <w:tblInd w:w="0" w:type="dxa"/>
        <w:tblLayout w:type="fixed"/>
        <w:tblCellMar>
          <w:top w:w="55" w:type="dxa"/>
          <w:left w:w="45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2432"/>
        <w:gridCol w:w="2442"/>
        <w:gridCol w:w="2450"/>
        <w:gridCol w:w="2446"/>
      </w:tblGrid>
      <w:tr>
        <w:trPr/>
        <w:tc>
          <w:tcPr>
            <w:tcW w:w="9770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38AB81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RISCO 11 – Elaboração de Termo de Referência inadequado.</w:t>
            </w:r>
          </w:p>
        </w:tc>
      </w:tr>
      <w:tr>
        <w:trPr/>
        <w:tc>
          <w:tcPr>
            <w:tcW w:w="24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Probabilidade:</w:t>
            </w:r>
          </w:p>
        </w:tc>
        <w:tc>
          <w:tcPr>
            <w:tcW w:w="24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(   ) Baixa</w:t>
            </w:r>
          </w:p>
        </w:tc>
        <w:tc>
          <w:tcPr>
            <w:tcW w:w="24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( x ) Média</w:t>
            </w:r>
          </w:p>
        </w:tc>
        <w:tc>
          <w:tcPr>
            <w:tcW w:w="24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(   ) Alta</w:t>
            </w:r>
          </w:p>
        </w:tc>
      </w:tr>
      <w:tr>
        <w:trPr/>
        <w:tc>
          <w:tcPr>
            <w:tcW w:w="24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Impacto:</w:t>
            </w:r>
          </w:p>
        </w:tc>
        <w:tc>
          <w:tcPr>
            <w:tcW w:w="24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(   ) Baixa</w:t>
            </w:r>
          </w:p>
        </w:tc>
        <w:tc>
          <w:tcPr>
            <w:tcW w:w="24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(   ) Média</w:t>
            </w:r>
          </w:p>
        </w:tc>
        <w:tc>
          <w:tcPr>
            <w:tcW w:w="24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( x ) Alta</w:t>
            </w:r>
          </w:p>
        </w:tc>
      </w:tr>
      <w:tr>
        <w:trPr/>
        <w:tc>
          <w:tcPr>
            <w:tcW w:w="9770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38AB81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Dano</w:t>
            </w:r>
          </w:p>
        </w:tc>
      </w:tr>
      <w:tr>
        <w:trPr/>
        <w:tc>
          <w:tcPr>
            <w:tcW w:w="9770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color w:val="00000A"/>
                <w:spacing w:val="3"/>
                <w:sz w:val="20"/>
                <w:szCs w:val="20"/>
                <w:shd w:fill="FFFFFF" w:val="clear"/>
              </w:rPr>
              <w:t>1. Falta de capacitação dos servidores.</w:t>
            </w:r>
          </w:p>
          <w:p>
            <w:pPr>
              <w:pStyle w:val="Contedodatabela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color w:val="00000A"/>
                <w:spacing w:val="3"/>
                <w:sz w:val="20"/>
                <w:szCs w:val="20"/>
                <w:shd w:fill="FFFFFF" w:val="clear"/>
              </w:rPr>
              <w:t>2. Sobrecarga de trabalho.</w:t>
            </w:r>
          </w:p>
          <w:p>
            <w:pPr>
              <w:pStyle w:val="Contedodatabela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color w:val="00000A"/>
                <w:spacing w:val="3"/>
                <w:sz w:val="20"/>
                <w:szCs w:val="20"/>
                <w:shd w:fill="FFFFFF" w:val="clear"/>
              </w:rPr>
              <w:t>3. Desconhecimento técnico do requisitante.</w:t>
            </w:r>
          </w:p>
        </w:tc>
      </w:tr>
      <w:tr>
        <w:trPr/>
        <w:tc>
          <w:tcPr>
            <w:tcW w:w="487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38AB81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Ação Preventiva</w:t>
            </w:r>
          </w:p>
        </w:tc>
        <w:tc>
          <w:tcPr>
            <w:tcW w:w="489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38AB81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Responsável</w:t>
            </w:r>
          </w:p>
        </w:tc>
      </w:tr>
      <w:tr>
        <w:trPr>
          <w:trHeight w:val="627" w:hRule="atLeast"/>
        </w:trPr>
        <w:tc>
          <w:tcPr>
            <w:tcW w:w="487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1. Capacitação dos servidores.</w:t>
            </w:r>
          </w:p>
          <w:p>
            <w:pPr>
              <w:pStyle w:val="Contedodatabela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2. Remanejamento do quadro de pessoal.</w:t>
            </w:r>
          </w:p>
        </w:tc>
        <w:tc>
          <w:tcPr>
            <w:tcW w:w="489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Setor de Recursos Humanos</w:t>
            </w:r>
          </w:p>
        </w:tc>
      </w:tr>
      <w:tr>
        <w:trPr/>
        <w:tc>
          <w:tcPr>
            <w:tcW w:w="487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38AB81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Ação de Contingência</w:t>
            </w:r>
          </w:p>
        </w:tc>
        <w:tc>
          <w:tcPr>
            <w:tcW w:w="489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38AB81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Responsável</w:t>
            </w:r>
          </w:p>
        </w:tc>
      </w:tr>
      <w:tr>
        <w:trPr/>
        <w:tc>
          <w:tcPr>
            <w:tcW w:w="487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1. Solicitar a revisão da assessoria jurídica.</w:t>
            </w:r>
          </w:p>
        </w:tc>
        <w:tc>
          <w:tcPr>
            <w:tcW w:w="489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color w:val="000000"/>
                <w:sz w:val="20"/>
                <w:szCs w:val="20"/>
                <w:shd w:fill="FFFFFF" w:val="clear"/>
              </w:rPr>
              <w:t>Área Jurídica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tbl>
      <w:tblPr>
        <w:tblW w:w="9795" w:type="dxa"/>
        <w:jc w:val="center"/>
        <w:tblInd w:w="0" w:type="dxa"/>
        <w:tblLayout w:type="fixed"/>
        <w:tblCellMar>
          <w:top w:w="55" w:type="dxa"/>
          <w:left w:w="45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2431"/>
        <w:gridCol w:w="2442"/>
        <w:gridCol w:w="2449"/>
        <w:gridCol w:w="2472"/>
      </w:tblGrid>
      <w:tr>
        <w:trPr/>
        <w:tc>
          <w:tcPr>
            <w:tcW w:w="9794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38AB81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RISCO 12 – Atraso na emissão do parecer jurídico, caso necessário</w:t>
            </w:r>
          </w:p>
        </w:tc>
      </w:tr>
      <w:tr>
        <w:trPr/>
        <w:tc>
          <w:tcPr>
            <w:tcW w:w="24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Probabilidade:</w:t>
            </w:r>
          </w:p>
        </w:tc>
        <w:tc>
          <w:tcPr>
            <w:tcW w:w="24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(   ) Baixa</w:t>
            </w:r>
          </w:p>
        </w:tc>
        <w:tc>
          <w:tcPr>
            <w:tcW w:w="24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( x ) Média</w:t>
            </w:r>
          </w:p>
        </w:tc>
        <w:tc>
          <w:tcPr>
            <w:tcW w:w="24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(    ) Alta</w:t>
            </w:r>
          </w:p>
        </w:tc>
      </w:tr>
      <w:tr>
        <w:trPr/>
        <w:tc>
          <w:tcPr>
            <w:tcW w:w="24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Impacto:</w:t>
            </w:r>
          </w:p>
        </w:tc>
        <w:tc>
          <w:tcPr>
            <w:tcW w:w="24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(   ) Baixa</w:t>
            </w:r>
          </w:p>
        </w:tc>
        <w:tc>
          <w:tcPr>
            <w:tcW w:w="24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(    ) Média</w:t>
            </w:r>
          </w:p>
        </w:tc>
        <w:tc>
          <w:tcPr>
            <w:tcW w:w="24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( x ) Alta</w:t>
            </w:r>
          </w:p>
        </w:tc>
      </w:tr>
      <w:tr>
        <w:trPr/>
        <w:tc>
          <w:tcPr>
            <w:tcW w:w="9794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38AB81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Dano</w:t>
            </w:r>
          </w:p>
        </w:tc>
      </w:tr>
      <w:tr>
        <w:trPr/>
        <w:tc>
          <w:tcPr>
            <w:tcW w:w="9794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color w:val="00000A"/>
                <w:spacing w:val="3"/>
                <w:sz w:val="20"/>
                <w:szCs w:val="20"/>
                <w:shd w:fill="FFFFFF" w:val="clear"/>
              </w:rPr>
              <w:t>1. Geração de atraso para a efetivação da aquisição, causando possível dano ao erário.</w:t>
            </w:r>
          </w:p>
        </w:tc>
      </w:tr>
      <w:tr>
        <w:trPr/>
        <w:tc>
          <w:tcPr>
            <w:tcW w:w="487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38AB81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Ação Preventiva</w:t>
            </w:r>
          </w:p>
        </w:tc>
        <w:tc>
          <w:tcPr>
            <w:tcW w:w="492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38AB81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Responsável</w:t>
            </w:r>
          </w:p>
        </w:tc>
      </w:tr>
      <w:tr>
        <w:trPr>
          <w:trHeight w:val="366" w:hRule="atLeast"/>
        </w:trPr>
        <w:tc>
          <w:tcPr>
            <w:tcW w:w="487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1. Iniciar a confecção do Termo de Referência com antecedência.</w:t>
            </w:r>
          </w:p>
        </w:tc>
        <w:tc>
          <w:tcPr>
            <w:tcW w:w="492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Área de Análise Técnica e Compras e Demandantes</w:t>
            </w:r>
          </w:p>
        </w:tc>
      </w:tr>
      <w:tr>
        <w:trPr/>
        <w:tc>
          <w:tcPr>
            <w:tcW w:w="487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38AB81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Ação de Contingência</w:t>
            </w:r>
          </w:p>
        </w:tc>
        <w:tc>
          <w:tcPr>
            <w:tcW w:w="492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38AB81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Responsável</w:t>
            </w:r>
          </w:p>
        </w:tc>
      </w:tr>
      <w:tr>
        <w:trPr/>
        <w:tc>
          <w:tcPr>
            <w:tcW w:w="487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 xml:space="preserve">1. </w:t>
            </w:r>
            <w:bookmarkStart w:id="1" w:name="_GoBack"/>
            <w:bookmarkEnd w:id="1"/>
            <w:r>
              <w:rPr>
                <w:rFonts w:cs="Calibri" w:ascii="Calibri" w:hAnsi="Calibri"/>
                <w:sz w:val="20"/>
                <w:szCs w:val="20"/>
              </w:rPr>
              <w:t>Definir uma data limite para a finalização do processo de análise da assessoria jurídica.</w:t>
            </w:r>
          </w:p>
        </w:tc>
        <w:tc>
          <w:tcPr>
            <w:tcW w:w="492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color w:val="000000"/>
                <w:sz w:val="20"/>
                <w:szCs w:val="20"/>
                <w:shd w:fill="FFFFFF" w:val="clear"/>
              </w:rPr>
              <w:t>Área Jurídica</w:t>
            </w:r>
          </w:p>
        </w:tc>
      </w:tr>
    </w:tbl>
    <w:p>
      <w:pPr>
        <w:pStyle w:val="Normal"/>
        <w:jc w:val="center"/>
        <w:rPr>
          <w:rFonts w:ascii="Calibri" w:hAnsi="Calibri" w:cs="Calibri"/>
          <w:b/>
          <w:b/>
        </w:rPr>
      </w:pPr>
      <w:r>
        <w:rPr>
          <w:rFonts w:cs="Calibri" w:ascii="Calibri" w:hAnsi="Calibri"/>
          <w:b/>
        </w:rPr>
      </w:r>
    </w:p>
    <w:p>
      <w:pPr>
        <w:pStyle w:val="Normal"/>
        <w:jc w:val="center"/>
        <w:rPr>
          <w:rFonts w:ascii="Calibri" w:hAnsi="Calibri" w:cs="Calibri"/>
          <w:b/>
          <w:b/>
        </w:rPr>
      </w:pPr>
      <w:r>
        <w:rPr>
          <w:rFonts w:cs="Calibri" w:ascii="Calibri" w:hAnsi="Calibri"/>
          <w:b/>
        </w:rPr>
      </w:r>
    </w:p>
    <w:p>
      <w:pPr>
        <w:pStyle w:val="Normal"/>
        <w:jc w:val="center"/>
        <w:rPr>
          <w:rFonts w:ascii="Calibri" w:hAnsi="Calibri" w:cs="Calibri"/>
          <w:b/>
          <w:b/>
        </w:rPr>
      </w:pPr>
      <w:r>
        <w:rPr>
          <w:rFonts w:cs="Calibri" w:ascii="Calibri" w:hAnsi="Calibri"/>
          <w:b/>
        </w:rPr>
      </w:r>
      <w:r>
        <w:br w:type="page"/>
      </w:r>
    </w:p>
    <w:p>
      <w:pPr>
        <w:pStyle w:val="Normal"/>
        <w:shd w:val="clear" w:color="auto" w:fill="38AB81"/>
        <w:jc w:val="center"/>
        <w:rPr>
          <w:rFonts w:ascii="Calibri" w:hAnsi="Calibri"/>
          <w:b/>
          <w:b/>
          <w:bCs/>
          <w:color w:val="FFFFFF"/>
        </w:rPr>
      </w:pPr>
      <w:r>
        <w:rPr>
          <w:rFonts w:ascii="Calibri" w:hAnsi="Calibri"/>
          <w:b/>
          <w:bCs/>
          <w:color w:val="FFFFFF"/>
        </w:rPr>
        <w:t>MATRIZ DE RISCOS</w:t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>
          <w:rFonts w:ascii="Calibri" w:hAnsi="Calibri" w:cs="Calibri"/>
          <w:b/>
          <w:b/>
          <w:bCs/>
          <w:color w:val="FFFFFF"/>
        </w:rPr>
      </w:pPr>
      <w:r>
        <w:rPr>
          <w:rFonts w:cs="Calibri" w:ascii="Calibri" w:hAnsi="Calibri"/>
          <w:b/>
          <w:bCs/>
          <w:color w:val="FFFFFF"/>
        </w:rPr>
      </w:r>
    </w:p>
    <w:p>
      <w:pPr>
        <w:pStyle w:val="Normal"/>
        <w:jc w:val="center"/>
        <w:rPr>
          <w:rFonts w:ascii="Calibri" w:hAnsi="Calibri" w:cs="Calibri"/>
          <w:b/>
          <w:b/>
          <w:bCs/>
          <w:color w:val="FFFFFF"/>
        </w:rPr>
      </w:pPr>
      <w:r>
        <w:rPr/>
        <w:drawing>
          <wp:anchor behindDoc="0" distT="0" distB="0" distL="0" distR="0" simplePos="0" locked="0" layoutInCell="0" allowOverlap="1" relativeHeight="16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4228465" cy="5965190"/>
            <wp:effectExtent l="0" t="0" r="0" b="0"/>
            <wp:wrapSquare wrapText="largest"/>
            <wp:docPr id="1" name="Figura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a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8465" cy="59651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headerReference w:type="default" r:id="rId3"/>
      <w:footerReference w:type="default" r:id="rId4"/>
      <w:type w:val="nextPage"/>
      <w:pgSz w:w="11906" w:h="16838"/>
      <w:pgMar w:left="1077" w:right="1077" w:gutter="0" w:header="709" w:top="1900" w:footer="283" w:bottom="1587"/>
      <w:pgNumType w:fmt="decimal"/>
      <w:formProt w:val="false"/>
      <w:textDirection w:val="lrTb"/>
      <w:docGrid w:type="default" w:linePitch="312" w:charSpace="0"/>
    </w:sectPr>
  </w:body>
</w:document>
</file>

<file path=word/comments.xml><?xml version="1.0" encoding="utf-8"?>
<w:comment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comment w:id="0" w:author="Autor desconhecido" w:date="2023-05-31T10:47:01Z" w:initials="">
    <w:p>
      <w:r>
        <w:rPr>
          <w:rFonts w:ascii="Liberation Serif" w:hAnsi="Liberation Serif" w:eastAsia="Segoe UI" w:cs="Tahoma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kern w:val="0"/>
          <w:position w:val="0"/>
          <w:sz w:val="20"/>
          <w:sz w:val="20"/>
          <w:szCs w:val="24"/>
          <w:u w:val="none"/>
          <w:vertAlign w:val="baseline"/>
          <w:em w:val="none"/>
          <w:lang w:val="en-US" w:eastAsia="en-US" w:bidi="en-US"/>
        </w:rPr>
        <w:t>Descrição do objeto conforme ETP</w:t>
      </w:r>
    </w:p>
  </w:comment>
</w:comments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Mono">
    <w:altName w:val="Courier New"/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Calibri"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Rodap"/>
      <w:tabs>
        <w:tab w:val="clear" w:pos="4819"/>
        <w:tab w:val="clear" w:pos="9638"/>
        <w:tab w:val="center" w:pos="4419" w:leader="none"/>
        <w:tab w:val="left" w:pos="5812" w:leader="none"/>
        <w:tab w:val="right" w:pos="8838" w:leader="none"/>
      </w:tabs>
      <w:jc w:val="both"/>
      <w:rPr/>
    </w:pPr>
    <w:r>
      <w:rPr>
        <w:rStyle w:val="LinkdaInternet"/>
        <w:rFonts w:cs="Calibri" w:ascii="Calibri" w:hAnsi="Calibri"/>
        <w:color w:val="auto"/>
        <w:sz w:val="16"/>
        <w:szCs w:val="16"/>
        <w:u w:val="none"/>
      </w:rPr>
      <w:t>Classificação da informação contida no documento ( X ) Público  (    ) Sigiloso  (    ) Restrito  |  Qual restrição?</w:t>
    </w:r>
  </w:p>
  <w:p>
    <w:pPr>
      <w:pStyle w:val="Rodap"/>
      <w:tabs>
        <w:tab w:val="clear" w:pos="4819"/>
        <w:tab w:val="clear" w:pos="9638"/>
        <w:tab w:val="center" w:pos="4419" w:leader="none"/>
        <w:tab w:val="left" w:pos="5812" w:leader="none"/>
        <w:tab w:val="right" w:pos="8838" w:leader="none"/>
      </w:tabs>
      <w:jc w:val="both"/>
      <w:rPr/>
    </w:pPr>
    <w:r>
      <w:rPr/>
      <w:drawing>
        <wp:anchor behindDoc="1" distT="0" distB="0" distL="0" distR="0" simplePos="0" locked="0" layoutInCell="0" allowOverlap="1" relativeHeight="8">
          <wp:simplePos x="0" y="0"/>
          <wp:positionH relativeFrom="column">
            <wp:align>center</wp:align>
          </wp:positionH>
          <wp:positionV relativeFrom="paragraph">
            <wp:posOffset>48260</wp:posOffset>
          </wp:positionV>
          <wp:extent cx="6478905" cy="502920"/>
          <wp:effectExtent l="0" t="0" r="0" b="0"/>
          <wp:wrapSquare wrapText="largest"/>
          <wp:docPr id="3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7" t="-92" r="-7" b="-92"/>
                  <a:stretch>
                    <a:fillRect/>
                  </a:stretch>
                </pic:blipFill>
                <pic:spPr bwMode="auto">
                  <a:xfrm>
                    <a:off x="0" y="0"/>
                    <a:ext cx="6478905" cy="5029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Rodap"/>
      <w:tabs>
        <w:tab w:val="clear" w:pos="4819"/>
        <w:tab w:val="clear" w:pos="9638"/>
        <w:tab w:val="center" w:pos="4419" w:leader="none"/>
        <w:tab w:val="left" w:pos="5812" w:leader="none"/>
        <w:tab w:val="right" w:pos="8838" w:leader="none"/>
      </w:tabs>
      <w:jc w:val="center"/>
      <w:rPr/>
    </w:pPr>
    <w:r>
      <w:rPr/>
    </w:r>
  </w:p>
  <w:p>
    <w:pPr>
      <w:pStyle w:val="Rodap"/>
      <w:tabs>
        <w:tab w:val="clear" w:pos="4819"/>
        <w:tab w:val="clear" w:pos="9638"/>
        <w:tab w:val="center" w:pos="4419" w:leader="none"/>
        <w:tab w:val="left" w:pos="5812" w:leader="none"/>
        <w:tab w:val="right" w:pos="8838" w:leader="none"/>
      </w:tabs>
      <w:jc w:val="center"/>
      <w:rPr/>
    </w:pPr>
    <w:r>
      <w:rPr/>
    </w:r>
  </w:p>
  <w:p>
    <w:pPr>
      <w:pStyle w:val="Rodap1"/>
      <w:tabs>
        <w:tab w:val="center" w:pos="4419" w:leader="none"/>
        <w:tab w:val="left" w:pos="5812" w:leader="none"/>
        <w:tab w:val="right" w:pos="8838" w:leader="none"/>
      </w:tabs>
      <w:jc w:val="center"/>
      <w:rPr>
        <w:sz w:val="16"/>
        <w:szCs w:val="16"/>
      </w:rPr>
    </w:pPr>
    <w:r>
      <w:rPr>
        <w:sz w:val="16"/>
        <w:szCs w:val="16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abealho"/>
      <w:rPr/>
    </w:pPr>
    <w:r>
      <w:rPr/>
      <w:drawing>
        <wp:anchor behindDoc="1" distT="0" distB="0" distL="0" distR="0" simplePos="0" locked="0" layoutInCell="0" allowOverlap="1" relativeHeight="15">
          <wp:simplePos x="0" y="0"/>
          <wp:positionH relativeFrom="column">
            <wp:posOffset>-143510</wp:posOffset>
          </wp:positionH>
          <wp:positionV relativeFrom="paragraph">
            <wp:posOffset>-78105</wp:posOffset>
          </wp:positionV>
          <wp:extent cx="6478905" cy="808990"/>
          <wp:effectExtent l="0" t="0" r="0" b="0"/>
          <wp:wrapSquare wrapText="largest"/>
          <wp:docPr id="2" name="Figura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igura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7" t="-51" r="-7" b="-51"/>
                  <a:stretch>
                    <a:fillRect/>
                  </a:stretch>
                </pic:blipFill>
                <pic:spPr bwMode="auto">
                  <a:xfrm>
                    <a:off x="0" y="0"/>
                    <a:ext cx="6478905" cy="8089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425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Cs w:val="24"/>
        <w:lang w:val="pt-BR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;Times New Roma" w:hAnsi="Liberation Serif;Times New Roma" w:eastAsia="NSimSun" w:cs="Lucida Sans"/>
      <w:color w:val="auto"/>
      <w:kern w:val="2"/>
      <w:sz w:val="24"/>
      <w:szCs w:val="24"/>
      <w:lang w:val="pt-BR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/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Fontepargpadro1" w:customStyle="1">
    <w:name w:val="Fonte parág. padrão1"/>
    <w:qFormat/>
    <w:rPr/>
  </w:style>
  <w:style w:type="character" w:styleId="LinkdaInternet" w:customStyle="1">
    <w:name w:val="Hyperlink"/>
    <w:basedOn w:val="Fontepargpadro1"/>
    <w:rPr>
      <w:color w:val="0000FF"/>
      <w:u w:val="single"/>
    </w:rPr>
  </w:style>
  <w:style w:type="character" w:styleId="Smbolosdenumerao" w:customStyle="1">
    <w:name w:val="Símbolos de numeração"/>
    <w:qFormat/>
    <w:rPr/>
  </w:style>
  <w:style w:type="character" w:styleId="Entradadousurio" w:customStyle="1">
    <w:name w:val="Entrada do usuário"/>
    <w:qFormat/>
    <w:rPr>
      <w:rFonts w:ascii="Liberation Mono;Courier New" w:hAnsi="Liberation Mono;Courier New" w:eastAsia="NSimSun" w:cs="Liberation Mono;Courier New"/>
      <w:color w:val="00000A"/>
    </w:rPr>
  </w:style>
  <w:style w:type="character" w:styleId="Linkdainternetvisitado" w:customStyle="1">
    <w:name w:val="FollowedHyperlink"/>
    <w:rPr>
      <w:color w:val="800000"/>
      <w:u w:val="single"/>
    </w:rPr>
  </w:style>
  <w:style w:type="character" w:styleId="Marcas" w:customStyle="1">
    <w:name w:val="Marcas"/>
    <w:qFormat/>
    <w:rPr>
      <w:rFonts w:ascii="OpenSymbol;Arial Unicode MS" w:hAnsi="OpenSymbol;Arial Unicode MS" w:eastAsia="OpenSymbol;Arial Unicode MS" w:cs="OpenSymbol;Arial Unicode MS"/>
    </w:rPr>
  </w:style>
  <w:style w:type="character" w:styleId="Calibri12">
    <w:name w:val="Calibri_12"/>
    <w:basedOn w:val="DefaultParagraphFont"/>
    <w:qFormat/>
    <w:rPr>
      <w:rFonts w:ascii="Calibri" w:hAnsi="Calibri"/>
      <w:sz w:val="24"/>
    </w:rPr>
  </w:style>
  <w:style w:type="character" w:styleId="Calibri12b">
    <w:name w:val="Calibri_12b"/>
    <w:basedOn w:val="DefaultParagraphFont"/>
    <w:qFormat/>
    <w:rPr>
      <w:rFonts w:ascii="Calibri" w:hAnsi="Calibri"/>
      <w:b/>
      <w:color w:val="FFFFFF" w:themeColor="background1"/>
      <w:sz w:val="24"/>
    </w:rPr>
  </w:style>
  <w:style w:type="character" w:styleId="Strong">
    <w:name w:val="Strong"/>
    <w:qFormat/>
    <w:rPr>
      <w:b/>
      <w:bCs/>
    </w:rPr>
  </w:style>
  <w:style w:type="character" w:styleId="Marcadores">
    <w:name w:val="Marcadores"/>
    <w:qFormat/>
    <w:rPr>
      <w:rFonts w:ascii="OpenSymbol" w:hAnsi="OpenSymbol" w:eastAsia="OpenSymbol" w:cs="OpenSymbol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Arial" w:hAnsi="Arial" w:eastAsia="Microsoft YaHei" w:cs="Lucida Sans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/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 w:customStyle="1">
    <w:name w:val="Índice"/>
    <w:basedOn w:val="Normal"/>
    <w:qFormat/>
    <w:pPr>
      <w:suppressLineNumbers/>
    </w:pPr>
    <w:rPr/>
  </w:style>
  <w:style w:type="paragraph" w:styleId="Ttulododocumento">
    <w:name w:val="Title"/>
    <w:basedOn w:val="Normal"/>
    <w:next w:val="Corpodotexto"/>
    <w:uiPriority w:val="10"/>
    <w:qFormat/>
    <w:pPr>
      <w:keepNext w:val="true"/>
      <w:spacing w:before="240" w:after="120"/>
    </w:pPr>
    <w:rPr>
      <w:rFonts w:ascii="Liberation Sans;Arial" w:hAnsi="Liberation Sans;Arial" w:eastAsia="Microsoft YaHei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styleId="CabealhoeRodap" w:customStyle="1">
    <w:name w:val="Cabeçalho e Rodapé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Cabealho">
    <w:name w:val="Header"/>
    <w:basedOn w:val="CabealhoeRodap"/>
    <w:pPr/>
    <w:rPr/>
  </w:style>
  <w:style w:type="paragraph" w:styleId="Rodap">
    <w:name w:val="Footer"/>
    <w:basedOn w:val="CabealhoeRodap"/>
    <w:pPr/>
    <w:rPr/>
  </w:style>
  <w:style w:type="paragraph" w:styleId="Contedodalista" w:customStyle="1">
    <w:name w:val="Conteúdo da lista"/>
    <w:basedOn w:val="Normal"/>
    <w:qFormat/>
    <w:pPr>
      <w:ind w:left="567" w:hanging="0"/>
    </w:pPr>
    <w:rPr/>
  </w:style>
  <w:style w:type="paragraph" w:styleId="Rodap1" w:customStyle="1">
    <w:name w:val="Rodapé1"/>
    <w:basedOn w:val="Normal"/>
    <w:qFormat/>
    <w:pPr>
      <w:tabs>
        <w:tab w:val="clear" w:pos="720"/>
        <w:tab w:val="center" w:pos="4419" w:leader="none"/>
        <w:tab w:val="right" w:pos="8838" w:leader="none"/>
      </w:tabs>
    </w:pPr>
    <w:rPr>
      <w:rFonts w:ascii="Times New Roman" w:hAnsi="Times New Roman" w:eastAsia="Times New Roman" w:cs="Times New Roman"/>
      <w:color w:val="00000A"/>
      <w:sz w:val="20"/>
      <w:szCs w:val="20"/>
      <w:lang w:bidi="ar-SA"/>
    </w:rPr>
  </w:style>
  <w:style w:type="paragraph" w:styleId="CREMERJ" w:customStyle="1">
    <w:name w:val="CREMERJ"/>
    <w:basedOn w:val="Cabealho"/>
    <w:qFormat/>
    <w:pPr>
      <w:jc w:val="both"/>
    </w:pPr>
    <w:rPr>
      <w:rFonts w:ascii="Times New Roman" w:hAnsi="Times New Roman" w:cs="Times New Roman"/>
    </w:rPr>
  </w:style>
  <w:style w:type="paragraph" w:styleId="Contedodatabela" w:customStyle="1">
    <w:name w:val="Conteúdo da tabela"/>
    <w:basedOn w:val="Normal"/>
    <w:qFormat/>
    <w:pPr>
      <w:suppressLineNumbers/>
    </w:pPr>
    <w:rPr/>
  </w:style>
  <w:style w:type="paragraph" w:styleId="Ttulodetabela" w:customStyle="1">
    <w:name w:val="Título de tabela"/>
    <w:basedOn w:val="Contedodatabela"/>
    <w:qFormat/>
    <w:pPr>
      <w:jc w:val="center"/>
    </w:pPr>
    <w:rPr>
      <w:b/>
      <w:bCs/>
    </w:rPr>
  </w:style>
  <w:style w:type="paragraph" w:styleId="Corpodetexto22" w:customStyle="1">
    <w:name w:val="Corpo de texto 22"/>
    <w:basedOn w:val="Normal"/>
    <w:qFormat/>
    <w:pPr>
      <w:tabs>
        <w:tab w:val="left" w:pos="720" w:leader="none"/>
        <w:tab w:val="left" w:pos="1440" w:leader="none"/>
        <w:tab w:val="left" w:pos="2160" w:leader="none"/>
        <w:tab w:val="left" w:pos="2880" w:leader="none"/>
      </w:tabs>
      <w:spacing w:lineRule="atLeast" w:line="240" w:before="280" w:after="280"/>
      <w:jc w:val="both"/>
    </w:pPr>
    <w:rPr>
      <w:rFonts w:ascii="Arial" w:hAnsi="Arial" w:cs="Times New Roman"/>
      <w:b/>
      <w:bCs/>
      <w:color w:val="000000"/>
    </w:rPr>
  </w:style>
  <w:style w:type="paragraph" w:styleId="Corpodetexto21" w:customStyle="1">
    <w:name w:val="Corpo de texto 21"/>
    <w:basedOn w:val="Normal"/>
    <w:qFormat/>
    <w:pPr>
      <w:tabs>
        <w:tab w:val="left" w:pos="720" w:leader="none"/>
        <w:tab w:val="left" w:pos="1440" w:leader="none"/>
        <w:tab w:val="left" w:pos="2160" w:leader="none"/>
        <w:tab w:val="left" w:pos="2880" w:leader="none"/>
      </w:tabs>
      <w:spacing w:lineRule="atLeast" w:line="240" w:before="280" w:after="280"/>
      <w:jc w:val="both"/>
    </w:pPr>
    <w:rPr>
      <w:rFonts w:ascii="Arial" w:hAnsi="Arial" w:cs="Times New Roman"/>
      <w:b/>
      <w:bCs/>
      <w:color w:val="000000"/>
    </w:rPr>
  </w:style>
  <w:style w:type="paragraph" w:styleId="PargrafodaLista1" w:customStyle="1">
    <w:name w:val="Parágrafo da Lista1"/>
    <w:basedOn w:val="Normal"/>
    <w:qFormat/>
    <w:pPr>
      <w:spacing w:before="0" w:after="0"/>
      <w:ind w:left="720" w:hanging="0"/>
      <w:contextualSpacing/>
    </w:pPr>
    <w:rPr/>
  </w:style>
  <w:style w:type="paragraph" w:styleId="Standard" w:customStyle="1">
    <w:name w:val="Standard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;Times New Roma" w:hAnsi="Liberation Serif;Times New Roma" w:eastAsia="SimSun" w:cs="Mangal"/>
      <w:color w:val="00000A"/>
      <w:kern w:val="2"/>
      <w:sz w:val="24"/>
      <w:szCs w:val="24"/>
      <w:lang w:val="pt-BR" w:eastAsia="zh-CN" w:bidi="hi-IN"/>
    </w:rPr>
  </w:style>
  <w:style w:type="paragraph" w:styleId="Corpodotextorecuado">
    <w:name w:val="Body Text Indent"/>
    <w:basedOn w:val="Normal"/>
    <w:pPr>
      <w:spacing w:before="0" w:after="120"/>
      <w:ind w:left="283" w:hanging="0"/>
    </w:pPr>
    <w:rPr>
      <w:rFonts w:cs="Times New Roman"/>
    </w:rPr>
  </w:style>
  <w:style w:type="paragraph" w:styleId="Default" w:customStyle="1">
    <w:name w:val="Default"/>
    <w:qFormat/>
    <w:pPr>
      <w:widowControl w:val="false"/>
      <w:suppressAutoHyphens w:val="true"/>
      <w:overflowPunct w:val="true"/>
      <w:bidi w:val="0"/>
      <w:spacing w:before="0" w:after="0"/>
      <w:jc w:val="left"/>
    </w:pPr>
    <w:rPr>
      <w:rFonts w:ascii="Arial" w:hAnsi="Arial" w:eastAsia="NSimSun" w:cs="Mangal"/>
      <w:color w:val="000000"/>
      <w:kern w:val="2"/>
      <w:sz w:val="24"/>
      <w:szCs w:val="24"/>
      <w:lang w:val="pt-BR" w:eastAsia="zh-CN" w:bidi="hi-IN"/>
    </w:rPr>
  </w:style>
  <w:style w:type="paragraph" w:styleId="CREMERJ1" w:customStyle="1">
    <w:name w:val="CREMERJ_1"/>
    <w:basedOn w:val="Normal"/>
    <w:qFormat/>
    <w:pPr>
      <w:jc w:val="both"/>
    </w:pPr>
    <w:rPr/>
  </w:style>
  <w:style w:type="paragraph" w:styleId="NormalWeb">
    <w:name w:val="Normal (Web)"/>
    <w:basedOn w:val="Normal"/>
    <w:qFormat/>
    <w:pPr>
      <w:spacing w:before="100" w:after="100"/>
    </w:pPr>
    <w:rPr>
      <w:rFonts w:ascii="Times New Roman" w:hAnsi="Times New Roman" w:eastAsia="Times New Roman" w:cs="Times New Roman"/>
      <w:lang w:eastAsia="pt-BR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footer" Target="footer1.xml"/><Relationship Id="rId5" Type="http://schemas.openxmlformats.org/officeDocument/2006/relationships/comments" Target="comments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3.jpeg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2.jpeg"/>
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Application>LibreOffice/7.4.6.2$Windows_X86_64 LibreOffice_project/5b1f5509c2decdade7fda905e3e1429a67acd63d</Application>
  <AppVersion>15.0000</AppVersion>
  <Pages>7</Pages>
  <Words>1680</Words>
  <Characters>9192</Characters>
  <CharactersWithSpaces>10748</CharactersWithSpaces>
  <Paragraphs>247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2021-01-23T02:03:00Z</dcterms:created>
  <dc:creator>Wallace Sant'Anna</dc:creator>
  <dc:description/>
  <dc:language>pt-BR</dc:language>
  <cp:lastModifiedBy/>
  <cp:lastPrinted>2022-06-24T12:03:23Z</cp:lastPrinted>
  <dcterms:modified xsi:type="dcterms:W3CDTF">2023-05-31T10:47:42Z</dcterms:modified>
  <cp:revision>66</cp:revision>
  <dc:subject/>
  <dc:title>Autorização de Despesa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