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media/image1.jpeg" ContentType="image/jpeg"/>
  <Override PartName="/word/media/image2.jpeg" ContentType="image/jpeg"/>
  <Override PartName="/word/comments.xml" ContentType="application/vnd.openxmlformats-officedocument.wordprocessingml.comment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3.xml.rels" ContentType="application/vnd.openxmlformats-package.relationships+xml"/>
  <Override PartName="/word/_rels/footer3.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38AB81"/>
        <w:jc w:val="center"/>
        <w:rPr>
          <w:rFonts w:ascii="Calibri" w:hAnsi="Calibri"/>
        </w:rPr>
      </w:pPr>
      <w:commentRangeStart w:id="0"/>
      <w:r>
        <w:rPr>
          <w:rFonts w:cs="Calibri" w:ascii="Calibri" w:hAnsi="Calibri"/>
          <w:b/>
          <w:bCs/>
          <w:color w:val="FFFFFF"/>
        </w:rPr>
        <w:t xml:space="preserve">PROCESSO </w:t>
      </w:r>
      <w:r>
        <w:rPr>
          <w:rFonts w:cs="Calibri" w:ascii="Calibri" w:hAnsi="Calibri"/>
          <w:b/>
          <w:bCs/>
          <w:color w:val="C9211E"/>
        </w:rPr>
        <w:t>XX/2023</w:t>
      </w:r>
      <w:r>
        <w:rPr>
          <w:rFonts w:cs="Calibri" w:ascii="Calibri" w:hAnsi="Calibri"/>
          <w:b/>
          <w:bCs/>
          <w:color w:val="FFFFFF"/>
        </w:rPr>
        <w:t xml:space="preserve"> – DISPENSA DE LICITAÇÃO </w:t>
      </w:r>
      <w:r>
        <w:rPr>
          <w:rFonts w:cs="Calibri" w:ascii="Calibri" w:hAnsi="Calibri"/>
          <w:b/>
          <w:bCs/>
          <w:color w:val="C9211E"/>
        </w:rPr>
        <w:t>XX/2023</w:t>
      </w:r>
      <w:commentRangeEnd w:id="0"/>
      <w:r>
        <w:commentReference w:id="0"/>
      </w:r>
      <w:r>
        <w:rPr>
          <w:rFonts w:cs="Calibri" w:ascii="Calibri" w:hAnsi="Calibri"/>
          <w:b/>
          <w:bCs/>
          <w:color w:val="C9211E"/>
        </w:rPr>
      </w:r>
    </w:p>
    <w:p>
      <w:pPr>
        <w:pStyle w:val="Normal"/>
        <w:shd w:val="clear" w:color="auto" w:fill="38AB81"/>
        <w:jc w:val="center"/>
        <w:rPr>
          <w:rFonts w:ascii="Calibri" w:hAnsi="Calibri" w:cs="Calibri"/>
          <w:b/>
          <w:b/>
          <w:bCs/>
          <w:color w:val="FFFFFF"/>
        </w:rPr>
      </w:pPr>
      <w:r>
        <w:rPr>
          <w:rFonts w:cs="Calibri" w:ascii="Calibri" w:hAnsi="Calibri"/>
          <w:b/>
          <w:bCs/>
          <w:color w:val="FFFFFF"/>
        </w:rPr>
        <w:t>TERMO DE REFERÊNCIA</w:t>
      </w:r>
    </w:p>
    <w:p>
      <w:pPr>
        <w:pStyle w:val="Normal"/>
        <w:jc w:val="center"/>
        <w:rPr>
          <w:rFonts w:ascii="Calibri" w:hAnsi="Calibri" w:cs="Calibri"/>
          <w:b/>
          <w:b/>
          <w:bCs/>
          <w:color w:val="FFFFFF"/>
        </w:rPr>
      </w:pPr>
      <w:r>
        <w:rPr>
          <w:rFonts w:cs="Calibri" w:ascii="Calibri" w:hAnsi="Calibri"/>
          <w:b/>
          <w:bCs/>
          <w:color w:val="FFFFFF"/>
        </w:rPr>
      </w:r>
    </w:p>
    <w:p>
      <w:pPr>
        <w:pStyle w:val="Normal"/>
        <w:numPr>
          <w:ilvl w:val="0"/>
          <w:numId w:val="1"/>
        </w:numPr>
        <w:shd w:val="clear" w:color="auto" w:fill="38AB81"/>
        <w:jc w:val="both"/>
        <w:rPr>
          <w:rFonts w:ascii="Calibri" w:hAnsi="Calibri"/>
        </w:rPr>
      </w:pPr>
      <w:r>
        <w:rPr>
          <w:rFonts w:cs="Calibri" w:ascii="Calibri" w:hAnsi="Calibri"/>
          <w:b/>
          <w:bCs/>
          <w:color w:val="FFFFFF"/>
        </w:rPr>
        <w:t>DAS CONDIÇÕES GERAIS DA CONTRATAÇÃO (art. 6º, XXIII, “a” e “i” da Lei n. 14.133/2021).</w:t>
      </w:r>
    </w:p>
    <w:p>
      <w:pPr>
        <w:pStyle w:val="Normal"/>
        <w:jc w:val="both"/>
        <w:rPr>
          <w:rFonts w:ascii="Calibri" w:hAnsi="Calibri" w:cs="Calibri"/>
          <w:b/>
          <w:b/>
          <w:bCs/>
          <w:color w:val="FFFFFF"/>
        </w:rPr>
      </w:pPr>
      <w:r>
        <w:rPr>
          <w:rFonts w:cs="Calibri" w:ascii="Calibri" w:hAnsi="Calibri"/>
          <w:b/>
          <w:bCs/>
          <w:color w:val="FFFFFF"/>
        </w:rPr>
      </w:r>
    </w:p>
    <w:p>
      <w:pPr>
        <w:pStyle w:val="Normal"/>
        <w:numPr>
          <w:ilvl w:val="1"/>
          <w:numId w:val="1"/>
        </w:numPr>
        <w:ind w:left="0" w:hanging="0"/>
        <w:jc w:val="both"/>
        <w:rPr>
          <w:rFonts w:ascii="Calibri" w:hAnsi="Calibri"/>
        </w:rPr>
      </w:pPr>
      <w:r>
        <w:rPr>
          <w:rFonts w:cs="Calibri" w:ascii="Calibri" w:hAnsi="Calibri"/>
          <w:color w:val="C9211E"/>
        </w:rPr>
        <w:t>Contratação dos serviços de</w:t>
      </w:r>
      <w:commentRangeStart w:id="1"/>
      <w:r>
        <w:rPr>
          <w:rFonts w:cs="Calibri" w:ascii="Calibri" w:hAnsi="Calibri"/>
          <w:color w:val="C9211E"/>
        </w:rPr>
        <w:t>(de manutenção, de telefonia, etc...)</w:t>
      </w:r>
      <w:r>
        <w:rPr>
          <w:rFonts w:cs="Calibri" w:ascii="Calibri" w:hAnsi="Calibri"/>
          <w:color w:val="C9211E"/>
        </w:rPr>
      </w:r>
      <w:commentRangeEnd w:id="1"/>
      <w:r>
        <w:commentReference w:id="1"/>
      </w:r>
      <w:r>
        <w:rPr>
          <w:rFonts w:cs="Calibri" w:ascii="Calibri" w:hAnsi="Calibri"/>
          <w:color w:val="00000A"/>
        </w:rPr>
        <w:t>, conforme condições, quantidades e exigências estabelecidas neste instrumento e seus anexos:</w:t>
      </w:r>
    </w:p>
    <w:p>
      <w:pPr>
        <w:pStyle w:val="Normal"/>
        <w:jc w:val="both"/>
        <w:rPr>
          <w:rFonts w:ascii="Calibri" w:hAnsi="Calibri" w:cs="Calibri"/>
          <w:color w:val="00000A"/>
        </w:rPr>
      </w:pPr>
      <w:r>
        <w:rPr>
          <w:rFonts w:cs="Calibri" w:ascii="Calibri" w:hAnsi="Calibri"/>
          <w:color w:val="00000A"/>
        </w:rPr>
      </w:r>
    </w:p>
    <w:tbl>
      <w:tblPr>
        <w:tblW w:w="9752" w:type="dxa"/>
        <w:jc w:val="center"/>
        <w:tblInd w:w="0" w:type="dxa"/>
        <w:tblLayout w:type="fixed"/>
        <w:tblCellMar>
          <w:top w:w="55" w:type="dxa"/>
          <w:left w:w="12" w:type="dxa"/>
          <w:bottom w:w="55" w:type="dxa"/>
          <w:right w:w="55" w:type="dxa"/>
        </w:tblCellMar>
        <w:tblLook w:firstRow="1" w:noVBand="1" w:lastRow="0" w:firstColumn="1" w:lastColumn="0" w:noHBand="0" w:val="04a0"/>
      </w:tblPr>
      <w:tblGrid>
        <w:gridCol w:w="529"/>
        <w:gridCol w:w="3788"/>
        <w:gridCol w:w="950"/>
        <w:gridCol w:w="867"/>
        <w:gridCol w:w="799"/>
        <w:gridCol w:w="1300"/>
        <w:gridCol w:w="1518"/>
      </w:tblGrid>
      <w:tr>
        <w:trPr/>
        <w:tc>
          <w:tcPr>
            <w:tcW w:w="529"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commentRangeStart w:id="2"/>
            <w:r>
              <w:rPr>
                <w:rFonts w:cs="Calibri" w:ascii="Calibri" w:hAnsi="Calibri"/>
                <w:b/>
                <w:bCs/>
                <w:color w:val="FFFFFF"/>
                <w:sz w:val="20"/>
                <w:szCs w:val="20"/>
              </w:rPr>
              <w:t>ITEM</w:t>
            </w:r>
          </w:p>
        </w:tc>
        <w:tc>
          <w:tcPr>
            <w:tcW w:w="3788"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DESCRIÇÃO/ESPECIFICAÇÃO</w:t>
            </w:r>
          </w:p>
        </w:tc>
        <w:tc>
          <w:tcPr>
            <w:tcW w:w="95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CATSER</w:t>
            </w:r>
          </w:p>
        </w:tc>
        <w:tc>
          <w:tcPr>
            <w:tcW w:w="867"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UNIDADE</w:t>
            </w:r>
          </w:p>
        </w:tc>
        <w:tc>
          <w:tcPr>
            <w:tcW w:w="799"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QTD</w:t>
            </w:r>
          </w:p>
        </w:tc>
        <w:tc>
          <w:tcPr>
            <w:tcW w:w="130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R$ UNIT/MENSAL</w:t>
            </w:r>
          </w:p>
        </w:tc>
        <w:tc>
          <w:tcPr>
            <w:tcW w:w="1518"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R$ TOTAL/ANUAL</w:t>
            </w:r>
          </w:p>
        </w:tc>
      </w:tr>
      <w:tr>
        <w:trPr/>
        <w:tc>
          <w:tcPr>
            <w:tcW w:w="529" w:type="dxa"/>
            <w:tcBorders>
              <w:left w:val="single" w:sz="2" w:space="0" w:color="000001"/>
              <w:bottom w:val="single" w:sz="2" w:space="0" w:color="000001"/>
            </w:tcBorders>
            <w:vAlign w:val="center"/>
          </w:tcPr>
          <w:p>
            <w:pPr>
              <w:pStyle w:val="Contedodatabela"/>
              <w:widowControl w:val="false"/>
              <w:jc w:val="center"/>
              <w:rPr>
                <w:color w:val="C9211E"/>
                <w:sz w:val="20"/>
                <w:szCs w:val="20"/>
              </w:rPr>
            </w:pPr>
            <w:r>
              <w:rPr>
                <w:rFonts w:cs="Calibri" w:ascii="Calibri" w:hAnsi="Calibri"/>
                <w:color w:val="C9211E"/>
                <w:sz w:val="20"/>
                <w:szCs w:val="20"/>
              </w:rPr>
              <w:t>01</w:t>
            </w:r>
          </w:p>
        </w:tc>
        <w:tc>
          <w:tcPr>
            <w:tcW w:w="3788" w:type="dxa"/>
            <w:tcBorders>
              <w:left w:val="single" w:sz="2" w:space="0" w:color="000001"/>
              <w:bottom w:val="single" w:sz="2" w:space="0" w:color="000001"/>
            </w:tcBorders>
            <w:vAlign w:val="center"/>
          </w:tcPr>
          <w:p>
            <w:pPr>
              <w:pStyle w:val="Contedodatabela"/>
              <w:widowControl w:val="false"/>
              <w:jc w:val="both"/>
              <w:rPr>
                <w:rFonts w:ascii="Calibri" w:hAnsi="Calibri"/>
                <w:color w:val="C9211E"/>
                <w:sz w:val="20"/>
                <w:szCs w:val="20"/>
              </w:rPr>
            </w:pPr>
            <w:r>
              <w:rPr>
                <w:rFonts w:ascii="Calibri" w:hAnsi="Calibri"/>
                <w:color w:val="C9211E"/>
                <w:sz w:val="20"/>
                <w:szCs w:val="20"/>
              </w:rPr>
              <w:t>Descrição detalhada do item.</w:t>
            </w:r>
          </w:p>
        </w:tc>
        <w:tc>
          <w:tcPr>
            <w:tcW w:w="950"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t>0</w:t>
            </w:r>
            <w:r>
              <w:rPr>
                <w:rFonts w:cs="Calibri" w:ascii="Calibri" w:hAnsi="Calibri" w:asciiTheme="minorHAnsi" w:cstheme="minorHAnsi" w:hAnsiTheme="minorHAnsi"/>
                <w:color w:val="C9211E"/>
                <w:sz w:val="20"/>
                <w:szCs w:val="20"/>
              </w:rPr>
              <w:t>00000</w:t>
            </w:r>
          </w:p>
        </w:tc>
        <w:tc>
          <w:tcPr>
            <w:tcW w:w="867"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cs="Calibri" w:ascii="Calibri" w:hAnsi="Calibri"/>
                <w:color w:val="C9211E"/>
                <w:sz w:val="20"/>
                <w:szCs w:val="20"/>
              </w:rPr>
              <w:t>Serviço</w:t>
            </w:r>
          </w:p>
        </w:tc>
        <w:tc>
          <w:tcPr>
            <w:tcW w:w="799"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t>00</w:t>
            </w:r>
            <w:commentRangeEnd w:id="2"/>
            <w:r>
              <w:commentReference w:id="2"/>
            </w:r>
            <w:r>
              <w:rPr>
                <w:rFonts w:ascii="Calibri" w:hAnsi="Calibri"/>
                <w:color w:val="C9211E"/>
                <w:sz w:val="20"/>
                <w:szCs w:val="20"/>
              </w:rPr>
            </w:r>
          </w:p>
        </w:tc>
        <w:tc>
          <w:tcPr>
            <w:tcW w:w="1300"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r>
          </w:p>
        </w:tc>
        <w:tc>
          <w:tcPr>
            <w:tcW w:w="1518" w:type="dxa"/>
            <w:tcBorders>
              <w:left w:val="single" w:sz="2" w:space="0" w:color="000001"/>
              <w:bottom w:val="single" w:sz="2" w:space="0" w:color="000001"/>
              <w:right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r>
          </w:p>
        </w:tc>
      </w:tr>
    </w:tbl>
    <w:p>
      <w:pPr>
        <w:pStyle w:val="Normal"/>
        <w:jc w:val="both"/>
        <w:rPr>
          <w:rFonts w:ascii="Calibri" w:hAnsi="Calibri" w:cs="Calibri"/>
          <w:color w:val="00000A"/>
        </w:rPr>
      </w:pPr>
      <w:r>
        <w:rPr>
          <w:rFonts w:cs="Calibri" w:ascii="Calibri" w:hAnsi="Calibri"/>
          <w:color w:val="00000A"/>
        </w:rPr>
      </w:r>
    </w:p>
    <w:p>
      <w:pPr>
        <w:pStyle w:val="Normal"/>
        <w:jc w:val="both"/>
        <w:rPr>
          <w:rFonts w:ascii="Calibri" w:hAnsi="Calibri" w:cs="Calibri"/>
          <w:color w:val="C9211E"/>
        </w:rPr>
      </w:pPr>
      <w:r>
        <w:rPr>
          <w:rFonts w:cs="Calibri" w:ascii="Calibri" w:hAnsi="Calibri"/>
          <w:color w:val="C9211E"/>
        </w:rPr>
        <w:t>Em caso de dispensa eletrônica por grupo utilizar o modelo abaixo</w:t>
      </w:r>
    </w:p>
    <w:p>
      <w:pPr>
        <w:pStyle w:val="Normal"/>
        <w:jc w:val="both"/>
        <w:rPr>
          <w:rFonts w:ascii="Calibri" w:hAnsi="Calibri" w:cs="Calibri"/>
          <w:color w:val="00000A"/>
        </w:rPr>
      </w:pPr>
      <w:r>
        <w:rPr>
          <w:rFonts w:cs="Calibri" w:ascii="Calibri" w:hAnsi="Calibri"/>
          <w:color w:val="00000A"/>
        </w:rPr>
      </w:r>
    </w:p>
    <w:tbl>
      <w:tblPr>
        <w:tblW w:w="9752" w:type="dxa"/>
        <w:jc w:val="center"/>
        <w:tblInd w:w="0" w:type="dxa"/>
        <w:tblLayout w:type="fixed"/>
        <w:tblCellMar>
          <w:top w:w="55" w:type="dxa"/>
          <w:left w:w="12" w:type="dxa"/>
          <w:bottom w:w="55" w:type="dxa"/>
          <w:right w:w="55" w:type="dxa"/>
        </w:tblCellMar>
        <w:tblLook w:firstRow="1" w:noVBand="1" w:lastRow="0" w:firstColumn="1" w:lastColumn="0" w:noHBand="0" w:val="04a0"/>
      </w:tblPr>
      <w:tblGrid>
        <w:gridCol w:w="529"/>
        <w:gridCol w:w="4429"/>
        <w:gridCol w:w="812"/>
        <w:gridCol w:w="980"/>
        <w:gridCol w:w="1000"/>
        <w:gridCol w:w="1005"/>
        <w:gridCol w:w="996"/>
      </w:tblGrid>
      <w:tr>
        <w:trPr/>
        <w:tc>
          <w:tcPr>
            <w:tcW w:w="529"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ITEM</w:t>
            </w:r>
          </w:p>
        </w:tc>
        <w:tc>
          <w:tcPr>
            <w:tcW w:w="4429"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DESCRIÇÃO/ESPECIFICAÇÃO</w:t>
            </w:r>
          </w:p>
        </w:tc>
        <w:tc>
          <w:tcPr>
            <w:tcW w:w="812"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CATSER</w:t>
            </w:r>
          </w:p>
        </w:tc>
        <w:tc>
          <w:tcPr>
            <w:tcW w:w="98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UNIDADE</w:t>
            </w:r>
          </w:p>
        </w:tc>
        <w:tc>
          <w:tcPr>
            <w:tcW w:w="100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QTD</w:t>
            </w:r>
          </w:p>
        </w:tc>
        <w:tc>
          <w:tcPr>
            <w:tcW w:w="1005"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R$ UNIT</w:t>
            </w:r>
          </w:p>
        </w:tc>
        <w:tc>
          <w:tcPr>
            <w:tcW w:w="996"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R$ TOTAL</w:t>
            </w:r>
          </w:p>
        </w:tc>
      </w:tr>
      <w:tr>
        <w:trPr/>
        <w:tc>
          <w:tcPr>
            <w:tcW w:w="529" w:type="dxa"/>
            <w:tcBorders>
              <w:left w:val="single" w:sz="2" w:space="0" w:color="000001"/>
              <w:bottom w:val="single" w:sz="2" w:space="0" w:color="000001"/>
            </w:tcBorders>
            <w:vAlign w:val="center"/>
          </w:tcPr>
          <w:p>
            <w:pPr>
              <w:pStyle w:val="Contedodatabela"/>
              <w:widowControl w:val="false"/>
              <w:jc w:val="center"/>
              <w:rPr>
                <w:color w:val="C9211E"/>
                <w:sz w:val="20"/>
                <w:szCs w:val="20"/>
              </w:rPr>
            </w:pPr>
            <w:r>
              <w:rPr>
                <w:rFonts w:cs="Calibri" w:ascii="Calibri" w:hAnsi="Calibri"/>
                <w:color w:val="C9211E"/>
                <w:sz w:val="20"/>
                <w:szCs w:val="20"/>
              </w:rPr>
              <w:t>01</w:t>
            </w:r>
          </w:p>
        </w:tc>
        <w:tc>
          <w:tcPr>
            <w:tcW w:w="4429" w:type="dxa"/>
            <w:tcBorders>
              <w:left w:val="single" w:sz="2" w:space="0" w:color="000001"/>
              <w:bottom w:val="single" w:sz="2" w:space="0" w:color="000001"/>
            </w:tcBorders>
            <w:vAlign w:val="center"/>
          </w:tcPr>
          <w:p>
            <w:pPr>
              <w:pStyle w:val="Contedodatabela"/>
              <w:widowControl w:val="false"/>
              <w:jc w:val="both"/>
              <w:rPr>
                <w:rFonts w:ascii="Calibri" w:hAnsi="Calibri"/>
                <w:color w:val="C9211E"/>
                <w:sz w:val="20"/>
                <w:szCs w:val="20"/>
              </w:rPr>
            </w:pPr>
            <w:r>
              <w:rPr>
                <w:rFonts w:ascii="Calibri" w:hAnsi="Calibri"/>
                <w:color w:val="C9211E"/>
                <w:sz w:val="20"/>
                <w:szCs w:val="20"/>
              </w:rPr>
              <w:t>Grupo composto por xxx itens de materiais de xxxx, conforme descrito planilha de custo e formação de preços conforme anexo I.</w:t>
            </w:r>
          </w:p>
        </w:tc>
        <w:tc>
          <w:tcPr>
            <w:tcW w:w="812"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t>0</w:t>
            </w:r>
            <w:r>
              <w:rPr>
                <w:rFonts w:cs="Calibri" w:ascii="Calibri" w:hAnsi="Calibri" w:asciiTheme="minorHAnsi" w:cstheme="minorHAnsi" w:hAnsiTheme="minorHAnsi"/>
                <w:color w:val="C9211E"/>
                <w:sz w:val="20"/>
                <w:szCs w:val="20"/>
              </w:rPr>
              <w:t>00000</w:t>
            </w:r>
          </w:p>
        </w:tc>
        <w:tc>
          <w:tcPr>
            <w:tcW w:w="980"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cs="Calibri" w:ascii="Calibri" w:hAnsi="Calibri"/>
                <w:color w:val="C9211E"/>
                <w:sz w:val="20"/>
                <w:szCs w:val="20"/>
              </w:rPr>
              <w:t>Unidade</w:t>
            </w:r>
          </w:p>
        </w:tc>
        <w:tc>
          <w:tcPr>
            <w:tcW w:w="1000"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t>00</w:t>
            </w:r>
            <w:r>
              <w:rPr/>
              <w:commentReference w:id="3"/>
            </w:r>
          </w:p>
        </w:tc>
        <w:tc>
          <w:tcPr>
            <w:tcW w:w="1005" w:type="dxa"/>
            <w:tcBorders>
              <w:left w:val="single" w:sz="2" w:space="0" w:color="000001"/>
              <w:bottom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r>
          </w:p>
        </w:tc>
        <w:tc>
          <w:tcPr>
            <w:tcW w:w="996" w:type="dxa"/>
            <w:tcBorders>
              <w:left w:val="single" w:sz="2" w:space="0" w:color="000001"/>
              <w:bottom w:val="single" w:sz="2" w:space="0" w:color="000001"/>
              <w:right w:val="single" w:sz="2" w:space="0" w:color="000001"/>
            </w:tcBorders>
            <w:vAlign w:val="center"/>
          </w:tcPr>
          <w:p>
            <w:pPr>
              <w:pStyle w:val="Contedodatabela"/>
              <w:widowControl w:val="false"/>
              <w:jc w:val="center"/>
              <w:rPr>
                <w:rFonts w:ascii="Calibri" w:hAnsi="Calibri"/>
                <w:color w:val="C9211E"/>
                <w:sz w:val="20"/>
                <w:szCs w:val="20"/>
              </w:rPr>
            </w:pPr>
            <w:r>
              <w:rPr>
                <w:rFonts w:ascii="Calibri" w:hAnsi="Calibri"/>
                <w:color w:val="C9211E"/>
                <w:sz w:val="20"/>
                <w:szCs w:val="20"/>
              </w:rPr>
            </w:r>
          </w:p>
        </w:tc>
      </w:tr>
    </w:tbl>
    <w:p>
      <w:pPr>
        <w:pStyle w:val="Normal"/>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00000A"/>
        </w:rPr>
      </w:pPr>
      <w:r>
        <w:rPr>
          <w:rFonts w:cs="Calibri" w:ascii="Calibri" w:hAnsi="Calibri"/>
          <w:color w:val="00000A"/>
        </w:rPr>
        <w:t>Havendo eventual divergência entre o CATSER e a descrição/especificação dos itens, prevalecerão estas últimas.</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color w:val="C9211E"/>
        </w:rPr>
      </w:pPr>
      <w:commentRangeStart w:id="4"/>
      <w:r>
        <w:rPr>
          <w:rFonts w:cs="Calibri" w:ascii="Calibri" w:hAnsi="Calibri"/>
          <w:color w:val="C9211E"/>
        </w:rPr>
        <w:t>Para a presente contratação, o Termo de Contrato será substituído por instrumento equivalente nos termos do Art. 95, Inc. I da Lei 14.133 de 2021, o qual vinculará as partes a este Termo de Referência e à Proposta da Contratada.</w:t>
      </w:r>
      <w:commentRangeEnd w:id="4"/>
      <w:r>
        <w:commentReference w:id="4"/>
      </w:r>
      <w:r>
        <w:rPr>
          <w:rFonts w:cs="Calibri" w:ascii="Calibri" w:hAnsi="Calibri"/>
          <w:color w:val="C9211E"/>
        </w:rPr>
      </w:r>
    </w:p>
    <w:p>
      <w:pPr>
        <w:pStyle w:val="Normal"/>
        <w:ind w:left="794" w:hanging="0"/>
        <w:jc w:val="both"/>
        <w:rPr>
          <w:rFonts w:ascii="Calibri" w:hAnsi="Calibri" w:cs="Calibri"/>
          <w:color w:val="00000A"/>
        </w:rPr>
      </w:pPr>
      <w:r>
        <w:rPr>
          <w:rFonts w:cs="Calibri" w:ascii="Calibri" w:hAnsi="Calibri"/>
          <w:color w:val="00000A"/>
        </w:rPr>
      </w:r>
    </w:p>
    <w:p>
      <w:pPr>
        <w:pStyle w:val="Normal"/>
        <w:jc w:val="both"/>
        <w:rPr>
          <w:color w:val="C9211E"/>
        </w:rPr>
      </w:pPr>
      <w:r>
        <w:rPr>
          <w:rFonts w:cs="Calibri" w:ascii="Calibri" w:hAnsi="Calibri"/>
          <w:color w:val="C9211E"/>
        </w:rPr>
        <w:t>ou</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00000A"/>
        </w:rPr>
      </w:pPr>
      <w:commentRangeStart w:id="5"/>
      <w:r>
        <w:rPr>
          <w:rFonts w:cs="Calibri" w:ascii="Calibri" w:hAnsi="Calibri"/>
          <w:color w:val="00000A"/>
        </w:rPr>
        <w:t xml:space="preserve">O prazo de vigência da contratação é de </w:t>
      </w:r>
      <w:r>
        <w:rPr>
          <w:rFonts w:cs="Calibri" w:ascii="Calibri" w:hAnsi="Calibri"/>
          <w:color w:val="C9211E"/>
        </w:rPr>
        <w:t>xx meses/dias/anos</w:t>
      </w:r>
      <w:r>
        <w:rPr>
          <w:rFonts w:cs="Calibri" w:ascii="Calibri" w:hAnsi="Calibri"/>
          <w:color w:val="00000A"/>
        </w:rPr>
        <w:t xml:space="preserve"> contados do(a) </w:t>
      </w:r>
      <w:r>
        <w:rPr>
          <w:rFonts w:cs="Calibri" w:ascii="Calibri" w:hAnsi="Calibri"/>
          <w:color w:val="C9211E"/>
        </w:rPr>
        <w:t>apresentação da proposta/assinatura do contrato/envio da Nota de Empenho</w:t>
      </w:r>
      <w:r>
        <w:rPr>
          <w:rFonts w:cs="Calibri" w:ascii="Calibri" w:hAnsi="Calibri"/>
          <w:color w:val="00000A"/>
        </w:rPr>
        <w:t>, na forma do artigo 105 da Lei n° 14.133/2021.</w:t>
      </w:r>
      <w:commentRangeEnd w:id="5"/>
      <w:r>
        <w:commentReference w:id="5"/>
      </w:r>
      <w:r>
        <w:rPr>
          <w:rFonts w:cs="Calibri" w:ascii="Calibri" w:hAnsi="Calibri"/>
          <w:color w:val="00000A"/>
        </w:rPr>
      </w:r>
    </w:p>
    <w:p>
      <w:pPr>
        <w:pStyle w:val="Normal"/>
        <w:jc w:val="both"/>
        <w:rPr>
          <w:rFonts w:ascii="Calibri" w:hAnsi="Calibri" w:cs="Calibri"/>
          <w:color w:val="00000A"/>
        </w:rPr>
      </w:pPr>
      <w:r>
        <w:rPr>
          <w:rFonts w:cs="Calibri" w:ascii="Calibri" w:hAnsi="Calibri"/>
          <w:color w:val="00000A"/>
        </w:rPr>
      </w:r>
    </w:p>
    <w:p>
      <w:pPr>
        <w:pStyle w:val="Normal"/>
        <w:jc w:val="both"/>
        <w:rPr>
          <w:color w:val="C9211E"/>
        </w:rPr>
      </w:pPr>
      <w:r>
        <w:rPr>
          <w:rFonts w:cs="Calibri" w:ascii="Calibri" w:hAnsi="Calibri"/>
          <w:color w:val="C9211E"/>
        </w:rPr>
        <w:t>ou</w:t>
      </w:r>
    </w:p>
    <w:p>
      <w:pPr>
        <w:pStyle w:val="Normal"/>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color w:val="C9211E"/>
        </w:rPr>
      </w:pPr>
      <w:commentRangeStart w:id="6"/>
      <w:r>
        <w:rPr>
          <w:rFonts w:cs="Calibri" w:ascii="Calibri" w:hAnsi="Calibri"/>
          <w:color w:val="C9211E"/>
        </w:rPr>
        <w:t>O prazo de vigência da contratação é de xx anos (máximo de 5 anos) contados do(a) apresentação da proposta/assinatura do contrato/envio da Nota de Empenho, prorrogável, na forma dos artigos 106 e 107 da Lei n° 14.133/2021.</w:t>
      </w:r>
    </w:p>
    <w:p>
      <w:pPr>
        <w:pStyle w:val="Normal"/>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asciiTheme="minorHAnsi" w:cstheme="minorHAnsi" w:hAnsiTheme="minorHAnsi"/>
          <w:color w:val="C9211E"/>
        </w:rPr>
      </w:pPr>
      <w:r>
        <w:rPr>
          <w:rFonts w:cs="Calibri" w:ascii="Calibri" w:hAnsi="Calibri" w:asciiTheme="minorHAnsi" w:cstheme="minorHAnsi" w:hAnsiTheme="minorHAnsi"/>
          <w:color w:val="C9211E"/>
        </w:rPr>
        <w:t>O serviço é enquadrado como continuado tendo em vista que [...], sendo a vigência plurianual mais vantajosa considerando [...] OU o Estudo Técnico Preliminar OU os termos da Nota Técnica .../...;</w:t>
      </w:r>
      <w:commentRangeEnd w:id="6"/>
      <w:r>
        <w:commentReference w:id="6"/>
      </w:r>
      <w:r>
        <w:rPr>
          <w:rFonts w:cs="Calibri" w:ascii="Calibri" w:hAnsi="Calibri" w:asciiTheme="minorHAnsi" w:cstheme="minorHAnsi" w:hAnsiTheme="minorHAnsi"/>
          <w:color w:val="C9211E"/>
        </w:rPr>
      </w:r>
    </w:p>
    <w:p>
      <w:pPr>
        <w:pStyle w:val="Normal"/>
        <w:jc w:val="both"/>
        <w:rPr>
          <w:color w:val="C9211E"/>
        </w:rPr>
      </w:pPr>
      <w:r>
        <w:rPr>
          <w:rFonts w:cs="Calibri" w:ascii="Calibri" w:hAnsi="Calibri"/>
          <w:color w:val="C9211E"/>
        </w:rPr>
        <w:t>ou</w:t>
      </w:r>
    </w:p>
    <w:p>
      <w:pPr>
        <w:pStyle w:val="Normal"/>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color w:val="C9211E"/>
        </w:rPr>
      </w:pPr>
      <w:commentRangeStart w:id="7"/>
      <w:r>
        <w:rPr>
          <w:rFonts w:cs="Calibri" w:ascii="Calibri" w:hAnsi="Calibri"/>
          <w:color w:val="C9211E"/>
        </w:rPr>
        <w:t>O prazo de vigência da contratação é de xx dias/anos (máximo de um ano da ocorrência da emergência ou calamidade) contados do(a) apresentação da proposta/assinatura do contrato/envio da Nota de Empenho, improrrogável, na forma do art. 75, VIII da Lei n° 14.133/2021.</w:t>
      </w:r>
      <w:commentRangeEnd w:id="7"/>
      <w:r>
        <w:commentReference w:id="7"/>
      </w:r>
      <w:r>
        <w:rPr>
          <w:rFonts w:cs="Calibri" w:ascii="Calibri" w:hAnsi="Calibri"/>
          <w:color w:val="C9211E"/>
        </w:rPr>
      </w:r>
    </w:p>
    <w:p>
      <w:pPr>
        <w:pStyle w:val="Normal"/>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00000A"/>
        </w:rPr>
      </w:pPr>
      <w:r>
        <w:rPr>
          <w:rFonts w:cs="Calibri" w:ascii="Calibri" w:hAnsi="Calibri"/>
          <w:color w:val="00000A"/>
        </w:rPr>
        <w:t xml:space="preserve">O custo estimado total da contratação é </w:t>
      </w:r>
      <w:r>
        <w:rPr>
          <w:rFonts w:cs="Calibri" w:ascii="Calibri" w:hAnsi="Calibri"/>
          <w:color w:val="C9211E"/>
        </w:rPr>
        <w:t>de R$... (por extenso)</w:t>
      </w:r>
      <w:r>
        <w:rPr>
          <w:rFonts w:cs="Calibri" w:ascii="Calibri" w:hAnsi="Calibri"/>
          <w:color w:val="00000A"/>
        </w:rPr>
        <w:t xml:space="preserve">, conforme custos unitários apostos </w:t>
      </w:r>
      <w:r>
        <w:rPr>
          <w:rFonts w:cs="Calibri" w:ascii="Calibri" w:hAnsi="Calibri"/>
          <w:color w:val="C9211E"/>
        </w:rPr>
        <w:t>na tabela acima OU em anexo</w:t>
      </w:r>
      <w:r>
        <w:rPr>
          <w:rFonts w:cs="Calibri" w:ascii="Calibri" w:hAnsi="Calibri"/>
          <w:color w:val="00000A"/>
        </w:rPr>
        <w:t>.</w:t>
      </w:r>
    </w:p>
    <w:p>
      <w:pPr>
        <w:pStyle w:val="Normal"/>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00000A"/>
        </w:rPr>
      </w:pPr>
      <w:r>
        <w:rPr>
          <w:rFonts w:cs="Calibri" w:ascii="Calibri" w:hAnsi="Calibri"/>
          <w:color w:val="00000A"/>
        </w:rPr>
        <w:t>A aquisição dos objetos desta dispensa eletrônica será adjudicada por item.</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C9211E"/>
        </w:rPr>
      </w:pPr>
      <w:r>
        <w:rPr>
          <w:rFonts w:cs="Calibri" w:ascii="Calibri" w:hAnsi="Calibri"/>
          <w:color w:val="C9211E"/>
        </w:rPr>
        <w:t>A aq</w:t>
      </w:r>
      <w:commentRangeStart w:id="8"/>
      <w:r>
        <w:rPr>
          <w:rFonts w:cs="Calibri" w:ascii="Calibri" w:hAnsi="Calibri"/>
          <w:color w:val="C9211E"/>
        </w:rPr>
        <w:t>uisição dos objetos desta dispensa eletrônica será adjudicada em grupo único, representado pelo item disponibilizado, sendo composto por xx (por_extenso) itens, conforme a planilha de custo e formação de preço anexo I.</w:t>
      </w:r>
    </w:p>
    <w:p>
      <w:pPr>
        <w:pStyle w:val="Normal"/>
        <w:suppressAutoHyphens w:val="false"/>
        <w:ind w:left="794" w:hanging="0"/>
        <w:jc w:val="both"/>
        <w:rPr>
          <w:rFonts w:ascii="Calibri" w:hAnsi="Calibri"/>
          <w:color w:val="C9211E"/>
        </w:rPr>
      </w:pPr>
      <w:r>
        <w:rPr>
          <w:rFonts w:ascii="Calibri" w:hAnsi="Calibri"/>
          <w:color w:val="C9211E"/>
        </w:rPr>
      </w:r>
    </w:p>
    <w:p>
      <w:pPr>
        <w:pStyle w:val="Normal"/>
        <w:numPr>
          <w:ilvl w:val="2"/>
          <w:numId w:val="1"/>
        </w:numPr>
        <w:suppressAutoHyphens w:val="false"/>
        <w:ind w:left="794" w:hanging="0"/>
        <w:jc w:val="both"/>
        <w:rPr>
          <w:color w:val="C9211E"/>
        </w:rPr>
      </w:pPr>
      <w:r>
        <w:rPr>
          <w:rFonts w:cs="Calibri" w:ascii="Calibri" w:hAnsi="Calibri" w:asciiTheme="minorHAnsi" w:cstheme="minorHAnsi" w:hAnsiTheme="minorHAnsi"/>
          <w:color w:val="C9211E"/>
        </w:rPr>
        <w:t>Os itens que foram agrupados são da mesma natureza e guardam relação entre si, sendo o serviço, oferecido por diversos fornecedores. Logo, a classificação das propostas pelo critério de menor valor global por grupo estimulará a participação de várias empresas, além de possibilitar a ampliação da competitividade e ganho na economia de escala. Ademais, a utilização do referido critério evitará descompassos na rotina de atividades do Cremerj, que poderia ser afetada por eventuais problemas no fornecimento dos serviços por diferentes empresas, indo ao encontro dos princípios da economicidade, eficácia e eficiência;</w:t>
      </w:r>
    </w:p>
    <w:p>
      <w:pPr>
        <w:pStyle w:val="Normal"/>
        <w:suppressAutoHyphens w:val="false"/>
        <w:ind w:left="1587" w:hanging="0"/>
        <w:jc w:val="both"/>
        <w:rPr>
          <w:rFonts w:ascii="Calibri" w:hAnsi="Calibri"/>
          <w:color w:val="C9211E"/>
        </w:rPr>
      </w:pPr>
      <w:r>
        <w:rPr>
          <w:rFonts w:ascii="Calibri" w:hAnsi="Calibri"/>
          <w:color w:val="C9211E"/>
        </w:rPr>
      </w:r>
    </w:p>
    <w:p>
      <w:pPr>
        <w:pStyle w:val="Normal"/>
        <w:numPr>
          <w:ilvl w:val="2"/>
          <w:numId w:val="1"/>
        </w:numPr>
        <w:suppressAutoHyphens w:val="false"/>
        <w:ind w:left="794" w:hanging="0"/>
        <w:jc w:val="both"/>
        <w:rPr>
          <w:rFonts w:ascii="Calibri" w:hAnsi="Calibri" w:cs="Calibri" w:asciiTheme="minorHAnsi" w:cstheme="minorHAnsi" w:hAnsiTheme="minorHAnsi"/>
          <w:color w:val="C9211E"/>
        </w:rPr>
      </w:pPr>
      <w:r>
        <w:rPr>
          <w:rFonts w:cs="Calibri" w:ascii="Calibri" w:hAnsi="Calibri" w:cstheme="minorHAnsi"/>
          <w:color w:val="C9211E"/>
        </w:rPr>
        <w:t>O CATSER acima apresentado é referente ao item 1 da planilha de custos e formação de preços e deverá o fornecedor apresentar a proposta em conjunto com a planilha de custos e formação de preços para todos os itens da planilha, informando o preço unitário e total de cada item, assim como o valor global.</w:t>
      </w:r>
      <w:commentRangeEnd w:id="8"/>
      <w:r>
        <w:commentReference w:id="8"/>
      </w:r>
      <w:r>
        <w:rPr>
          <w:rFonts w:cs="Calibri" w:ascii="Calibri" w:hAnsi="Calibri" w:cstheme="minorHAnsi"/>
          <w:color w:val="C9211E"/>
        </w:rPr>
      </w:r>
    </w:p>
    <w:p>
      <w:pPr>
        <w:pStyle w:val="Normal"/>
        <w:jc w:val="both"/>
        <w:rPr>
          <w:rFonts w:ascii="Calibri" w:hAnsi="Calibri" w:cs="Calibri"/>
          <w:color w:val="00000A"/>
        </w:rPr>
      </w:pPr>
      <w:r>
        <w:rPr>
          <w:rFonts w:cs="Calibri" w:ascii="Calibri" w:hAnsi="Calibri"/>
          <w:color w:val="00000A"/>
        </w:rPr>
      </w:r>
    </w:p>
    <w:p>
      <w:pPr>
        <w:pStyle w:val="Normal"/>
        <w:numPr>
          <w:ilvl w:val="0"/>
          <w:numId w:val="1"/>
        </w:numPr>
        <w:shd w:val="clear" w:color="auto" w:fill="38AB81"/>
        <w:jc w:val="both"/>
        <w:rPr>
          <w:rFonts w:ascii="Calibri" w:hAnsi="Calibri"/>
        </w:rPr>
      </w:pPr>
      <w:r>
        <w:rPr>
          <w:rFonts w:cs="Calibri" w:ascii="Calibri" w:hAnsi="Calibri"/>
          <w:b/>
          <w:bCs/>
          <w:color w:val="FFFFFF"/>
        </w:rPr>
        <w:t xml:space="preserve">FUNDAMENTAÇÃO E DESCRIÇÃO DA NECESSIDADE DA CONTRATAÇÃO (art. 6º, inciso XXIII, alínea ‘b’, da Lei nº 14.133/2021). </w:t>
      </w:r>
    </w:p>
    <w:p>
      <w:pPr>
        <w:pStyle w:val="Normal"/>
        <w:ind w:left="737" w:hanging="737"/>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color w:val="auto"/>
        </w:rPr>
      </w:pPr>
      <w:r>
        <w:rPr>
          <w:rFonts w:cs="Calibri" w:ascii="Calibri" w:hAnsi="Calibri"/>
          <w:color w:val="auto"/>
        </w:rPr>
        <w:t>A Fundamentação da Contratação e de seus quantitativos encontra-se pormenorizada em tópico específico dos Estudos Técnicos Preliminares, apêndice deste Termo de Referência.</w:t>
      </w:r>
    </w:p>
    <w:p>
      <w:pPr>
        <w:pStyle w:val="Normal"/>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rPr>
      </w:pPr>
      <w:r>
        <w:rPr>
          <w:rFonts w:cs="Calibri" w:ascii="Calibri" w:hAnsi="Calibri"/>
          <w:b/>
          <w:bCs/>
          <w:color w:val="FFFFFF"/>
        </w:rPr>
        <w:t>DESCRIÇÃO DA SOLUÇÃO COMO UM TODO,</w:t>
      </w:r>
      <w:bookmarkStart w:id="0" w:name="_GoBack"/>
      <w:bookmarkEnd w:id="0"/>
      <w:r>
        <w:rPr>
          <w:rFonts w:cs="Calibri" w:ascii="Calibri" w:hAnsi="Calibri"/>
          <w:b/>
          <w:bCs/>
          <w:color w:val="FFFFFF"/>
        </w:rPr>
        <w:t xml:space="preserve"> CONSIDERADO O CICLO DE VIDA DO OBJETO E ESPECIFICAÇÃO DO PRODUTO (art. 6º, inciso XXIII, alínea ‘c’, e art. 40, §1º, inciso I, da Lei nº 14.133/2021)</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pPr>
      <w:r>
        <w:rPr>
          <w:rFonts w:cs="Calibri" w:ascii="Calibri" w:hAnsi="Calibri"/>
        </w:rPr>
        <w:t>A descrição da solução como um todo, encontra-se pormenorizada em tópico específico dos Estudos Técnicos Preliminares.</w:t>
      </w:r>
    </w:p>
    <w:p>
      <w:pPr>
        <w:pStyle w:val="Normal"/>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rPr>
      </w:pPr>
      <w:r>
        <w:rPr>
          <w:rFonts w:cs="Calibri" w:ascii="Calibri" w:hAnsi="Calibri"/>
          <w:b/>
          <w:bCs/>
          <w:color w:val="FFFFFF"/>
        </w:rPr>
        <w:t>REQUISITOS DA CONTRATAÇÃO (art. 6º, XXIII, alínea ‘d’, da Lei nº 14.133/21</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pPr>
      <w:r>
        <w:rPr>
          <w:rFonts w:cs="Calibri" w:ascii="Calibri" w:hAnsi="Calibri"/>
        </w:rPr>
        <w:t>A contratação deverá observar os seguintes requisitos:</w:t>
      </w:r>
    </w:p>
    <w:p>
      <w:pPr>
        <w:pStyle w:val="Normal"/>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pPr>
      <w:r>
        <w:rPr>
          <w:rFonts w:cs="Calibri" w:ascii="Calibri" w:hAnsi="Calibri" w:cstheme="minorHAnsi"/>
        </w:rPr>
        <w:t>Sustentabilidade</w:t>
      </w:r>
    </w:p>
    <w:p>
      <w:pPr>
        <w:pStyle w:val="Normal"/>
        <w:suppressAutoHyphens w:val="false"/>
        <w:ind w:left="2381" w:hanging="0"/>
        <w:jc w:val="both"/>
        <w:rPr>
          <w:rFonts w:ascii="Calibri" w:hAnsi="Calibri"/>
        </w:rPr>
      </w:pPr>
      <w:r>
        <w:rPr>
          <w:rFonts w:ascii="Calibri" w:hAnsi="Calibri"/>
        </w:rPr>
      </w:r>
    </w:p>
    <w:p>
      <w:pPr>
        <w:pStyle w:val="Normal"/>
        <w:numPr>
          <w:ilvl w:val="3"/>
          <w:numId w:val="1"/>
        </w:numPr>
        <w:suppressAutoHyphens w:val="false"/>
        <w:ind w:left="1587" w:hanging="0"/>
        <w:jc w:val="both"/>
        <w:rPr>
          <w:rFonts w:ascii="Calibri" w:hAnsi="Calibri"/>
        </w:rPr>
      </w:pPr>
      <w:r>
        <w:rPr>
          <w:rFonts w:ascii="Calibri" w:hAnsi="Calibri"/>
        </w:rPr>
        <w:t>A aquisição do objeto deste Termo de Referência obedecerá aos critérios de sustentabilidade ambiental contidos no Guia Nacional de Contrações Sustentáveis, no que couber;</w:t>
      </w:r>
    </w:p>
    <w:p>
      <w:pPr>
        <w:pStyle w:val="Normal"/>
        <w:numPr>
          <w:ilvl w:val="3"/>
          <w:numId w:val="1"/>
        </w:numPr>
        <w:suppressAutoHyphens w:val="false"/>
        <w:ind w:left="1587" w:hanging="0"/>
        <w:jc w:val="both"/>
        <w:rPr>
          <w:color w:val="FF0000"/>
        </w:rPr>
      </w:pPr>
      <w:r>
        <w:rPr>
          <w:rFonts w:ascii="Calibri" w:hAnsi="Calibri"/>
          <w:color w:val="FF0000"/>
        </w:rPr>
        <w:t>(...)</w:t>
      </w:r>
      <w:r>
        <w:rPr/>
        <w:commentReference w:id="9"/>
      </w:r>
    </w:p>
    <w:p>
      <w:pPr>
        <w:pStyle w:val="Normal"/>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C9211E"/>
        </w:rPr>
      </w:pPr>
      <w:commentRangeStart w:id="10"/>
      <w:r>
        <w:rPr>
          <w:rFonts w:cs="Calibri" w:ascii="Calibri" w:hAnsi="Calibri"/>
          <w:color w:val="C9211E"/>
        </w:rPr>
        <w:t>Não será admitida a subcontratação do objeto contratual.</w:t>
      </w:r>
      <w:commentRangeEnd w:id="10"/>
      <w:r>
        <w:commentReference w:id="10"/>
      </w:r>
      <w:r>
        <w:rPr>
          <w:rFonts w:cs="Calibri" w:ascii="Calibri" w:hAnsi="Calibri"/>
          <w:color w:val="C9211E"/>
        </w:rPr>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suppressAutoHyphens w:val="false"/>
        <w:ind w:left="1587" w:hanging="0"/>
        <w:jc w:val="both"/>
        <w:rPr>
          <w:rFonts w:ascii="Calibri" w:hAnsi="Calibri" w:cs="Calibri"/>
          <w:color w:val="C9211E"/>
        </w:rPr>
      </w:pPr>
      <w:r>
        <w:rPr>
          <w:rFonts w:cs="Calibri" w:ascii="Calibri" w:hAnsi="Calibri"/>
        </w:rPr>
        <w:t>ou</w:t>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C9211E"/>
        </w:rPr>
      </w:pPr>
      <w:commentRangeStart w:id="11"/>
      <w:r>
        <w:rPr>
          <w:rFonts w:cs="Calibri" w:ascii="Calibri" w:hAnsi="Calibri"/>
          <w:color w:val="C9211E"/>
        </w:rPr>
        <w:t>É permitida a subcontratação parcial do objeto, até o limite de ......%(..... por cento) do valor total do contrato, nas seguintes condições:</w:t>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É vedada a subcontratação completa ou da parcela principal da obrigação, a qual consiste em:</w:t>
      </w:r>
    </w:p>
    <w:p>
      <w:pPr>
        <w:pStyle w:val="Normal"/>
        <w:suppressAutoHyphens w:val="false"/>
        <w:ind w:left="2381" w:hanging="0"/>
        <w:jc w:val="both"/>
        <w:rPr>
          <w:rFonts w:ascii="Calibri" w:hAnsi="Calibri" w:cs="Calibri"/>
          <w:color w:val="C9211E"/>
        </w:rPr>
      </w:pPr>
      <w:r>
        <w:rPr>
          <w:rFonts w:cs="Calibri" w:ascii="Calibri" w:hAnsi="Calibri"/>
          <w:color w:val="C9211E"/>
        </w:rPr>
      </w:r>
    </w:p>
    <w:p>
      <w:pPr>
        <w:pStyle w:val="Normal"/>
        <w:numPr>
          <w:ilvl w:val="3"/>
          <w:numId w:val="1"/>
        </w:numPr>
        <w:suppressAutoHyphens w:val="false"/>
        <w:ind w:left="1587" w:hanging="0"/>
        <w:jc w:val="both"/>
        <w:rPr>
          <w:rFonts w:ascii="Calibri" w:hAnsi="Calibri" w:cs="Calibri"/>
          <w:color w:val="C9211E"/>
        </w:rPr>
      </w:pPr>
      <w:r>
        <w:rPr>
          <w:rFonts w:cs="Calibri" w:ascii="Calibri" w:hAnsi="Calibri"/>
        </w:rPr>
        <w:t>xxxx</w:t>
      </w:r>
    </w:p>
    <w:p>
      <w:pPr>
        <w:pStyle w:val="Normal"/>
        <w:numPr>
          <w:ilvl w:val="3"/>
          <w:numId w:val="1"/>
        </w:numPr>
        <w:suppressAutoHyphens w:val="false"/>
        <w:ind w:left="1587" w:hanging="0"/>
        <w:jc w:val="both"/>
        <w:rPr>
          <w:rFonts w:ascii="Calibri" w:hAnsi="Calibri" w:cs="Calibri"/>
          <w:color w:val="C9211E"/>
        </w:rPr>
      </w:pPr>
      <w:commentRangeEnd w:id="11"/>
      <w:r>
        <w:commentReference w:id="11"/>
      </w:r>
      <w:r>
        <w:rPr/>
      </w:r>
    </w:p>
    <w:p>
      <w:pPr>
        <w:pStyle w:val="Normal"/>
        <w:ind w:left="794"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C9211E"/>
        </w:rPr>
      </w:pPr>
      <w:commentRangeStart w:id="12"/>
      <w:r>
        <w:rPr>
          <w:rFonts w:cs="Calibri" w:ascii="Calibri" w:hAnsi="Calibri"/>
          <w:color w:val="C9211E"/>
        </w:rPr>
        <w:t>Não haverá exigência da garantia da contratação dos arts. 96 e seguintes da Lei nº 14.133/21, pelas razões abaixo justificadas:</w:t>
      </w:r>
    </w:p>
    <w:p>
      <w:pPr>
        <w:pStyle w:val="Normal"/>
        <w:suppressAutoHyphens w:val="false"/>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color w:val="C9211E"/>
        </w:rPr>
        <w:t>A presente dispensa de licitação visa aquisições de baixo vulto, assim não haverá obrigações futuras.</w:t>
      </w:r>
    </w:p>
    <w:p>
      <w:pPr>
        <w:pStyle w:val="Normal"/>
        <w:numPr>
          <w:ilvl w:val="2"/>
          <w:numId w:val="1"/>
        </w:numPr>
        <w:suppressAutoHyphens w:val="false"/>
        <w:ind w:left="794" w:hanging="0"/>
        <w:jc w:val="both"/>
        <w:rPr>
          <w:rFonts w:ascii="Calibri" w:hAnsi="Calibri" w:cs="Calibri"/>
          <w:color w:val="C9211E"/>
        </w:rPr>
      </w:pPr>
      <w:r>
        <w:rPr>
          <w:rFonts w:cs="Calibri" w:ascii="Calibri" w:hAnsi="Calibri"/>
          <w:color w:val="C9211E"/>
        </w:rPr>
        <w:t>O pagamento somente será efetivado após o recebimento definitivo do objeto.</w:t>
      </w:r>
    </w:p>
    <w:p>
      <w:pPr>
        <w:pStyle w:val="Normal"/>
        <w:numPr>
          <w:ilvl w:val="2"/>
          <w:numId w:val="1"/>
        </w:numPr>
        <w:suppressAutoHyphens w:val="false"/>
        <w:ind w:left="794" w:hanging="0"/>
        <w:jc w:val="both"/>
        <w:rPr>
          <w:rFonts w:ascii="Calibri" w:hAnsi="Calibri" w:cs="Calibri"/>
          <w:color w:val="C9211E"/>
        </w:rPr>
      </w:pPr>
      <w:r>
        <w:rPr>
          <w:rFonts w:cs="Calibri" w:ascii="Calibri" w:hAnsi="Calibri"/>
          <w:color w:val="C9211E"/>
        </w:rPr>
        <w:t>A garantia é obrigatória apenas para os contratos que envolvam a execução de serviços continuados com dedicação exclusiva de mão de obra, nos termos do art. 7º, VI do Decreto nº 9.507, de 2018, e do item 3 do Anexo VII-F da Instrução Normativa SEGES/MP n.º 05/2017, o que não é o caso da presente contratação.</w:t>
      </w:r>
    </w:p>
    <w:p>
      <w:pPr>
        <w:pStyle w:val="Normal"/>
        <w:numPr>
          <w:ilvl w:val="2"/>
          <w:numId w:val="1"/>
        </w:numPr>
        <w:suppressAutoHyphens w:val="false"/>
        <w:ind w:left="794" w:hanging="0"/>
        <w:jc w:val="both"/>
        <w:rPr>
          <w:rFonts w:ascii="Calibri" w:hAnsi="Calibri" w:cs="Calibri"/>
          <w:color w:val="C9211E"/>
        </w:rPr>
      </w:pPr>
      <w:r>
        <w:rPr>
          <w:rFonts w:cs="Calibri" w:ascii="Calibri" w:hAnsi="Calibri"/>
          <w:color w:val="C9211E"/>
        </w:rPr>
        <w:t>(...)</w:t>
      </w:r>
      <w:commentRangeEnd w:id="12"/>
      <w:r>
        <w:commentReference w:id="12"/>
      </w:r>
      <w:r>
        <w:rPr>
          <w:rFonts w:cs="Calibri" w:ascii="Calibri" w:hAnsi="Calibri"/>
          <w:color w:val="C9211E"/>
        </w:rPr>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suppressAutoHyphens w:val="false"/>
        <w:ind w:left="1587" w:hanging="0"/>
        <w:jc w:val="both"/>
        <w:rPr>
          <w:rFonts w:ascii="Calibri" w:hAnsi="Calibri" w:cs="Calibri"/>
          <w:color w:val="C9211E"/>
        </w:rPr>
      </w:pPr>
      <w:r>
        <w:rPr>
          <w:rFonts w:cs="Calibri" w:ascii="Calibri" w:hAnsi="Calibri"/>
        </w:rPr>
        <w:t>ou</w:t>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C9211E"/>
        </w:rPr>
      </w:pPr>
      <w:commentRangeStart w:id="13"/>
      <w:r>
        <w:rPr>
          <w:rFonts w:cs="Calibri" w:ascii="Calibri" w:hAnsi="Calibri"/>
          <w:color w:val="C9211E"/>
        </w:rPr>
        <w:t>Será exigida a garantia da contratação de que tratam os arts. 96 e seguintes da Lei nº 14.133/21, no percentual de ...% do valor contratual, conforme regras previstas no contrato.</w:t>
      </w:r>
    </w:p>
    <w:p>
      <w:pPr>
        <w:pStyle w:val="Normal"/>
        <w:suppressAutoHyphens w:val="false"/>
        <w:ind w:left="1587"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A garantia nas modalidades caução e fiança bancária deverá ser prestada em até sete dias após</w:t>
      </w:r>
      <w:r>
        <w:rPr>
          <w:rFonts w:cs="Calibri" w:ascii="Calibri" w:hAnsi="Calibri"/>
          <w:color w:val="C9211E"/>
        </w:rPr>
        <w:t xml:space="preserve"> XXXXXX (autorização da dispensa OU notificação OU assinatura do contrato etc.).</w:t>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No caso de seguro-garantia sua apresentação deverá ocorrer, no máximo, até a data de assinatura do contrato.</w:t>
      </w:r>
      <w:commentRangeEnd w:id="13"/>
      <w:r>
        <w:commentReference w:id="13"/>
      </w:r>
      <w:r>
        <w:rPr>
          <w:rFonts w:cs="Calibri" w:ascii="Calibri" w:hAnsi="Calibri"/>
        </w:rPr>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cs="Calibri"/>
          <w:b/>
          <w:b/>
          <w:bCs/>
          <w:color w:val="FFFFFF"/>
        </w:rPr>
      </w:pPr>
      <w:commentRangeStart w:id="14"/>
      <w:r>
        <w:rPr>
          <w:rFonts w:cs="Calibri" w:ascii="Calibri" w:hAnsi="Calibri"/>
          <w:b/>
          <w:bCs/>
          <w:color w:val="FFFFFF"/>
        </w:rPr>
        <w:t>VISTORIA</w:t>
      </w:r>
      <w:commentRangeEnd w:id="14"/>
      <w:r>
        <w:commentReference w:id="14"/>
      </w:r>
      <w:r>
        <w:rPr>
          <w:rFonts w:cs="Calibri" w:ascii="Calibri" w:hAnsi="Calibri"/>
          <w:b/>
          <w:bCs/>
          <w:color w:val="FFFFFF"/>
        </w:rPr>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 avaliação prévia do local de execução dos serviços é imprescindível para o conhecimento pleno das condições e peculiaridades do objeto a ser contratado, sendo assegurado ao interessado o direito de realização de vistoria prévia, acompanhado por colaborador designado para esse fim, de segunda a sexta-feira, das ..... horas às ...... horas.</w:t>
      </w:r>
    </w:p>
    <w:p>
      <w:pPr>
        <w:pStyle w:val="Normal"/>
        <w:suppressAutoHyphens w:val="false"/>
        <w:ind w:left="0" w:hanging="0"/>
        <w:jc w:val="both"/>
        <w:rPr>
          <w:rFonts w:ascii="Calibri" w:hAnsi="Calibri" w:cs="Calibri"/>
          <w:color w:val="00000A"/>
        </w:rPr>
      </w:pPr>
      <w:r>
        <w:rPr>
          <w:rFonts w:cs="Calibri" w:ascii="Calibri" w:hAnsi="Calibri"/>
          <w:color w:val="00000A"/>
        </w:rPr>
      </w:r>
    </w:p>
    <w:p>
      <w:pPr>
        <w:pStyle w:val="Normal"/>
        <w:widowControl/>
        <w:numPr>
          <w:ilvl w:val="2"/>
          <w:numId w:val="1"/>
        </w:numPr>
        <w:suppressAutoHyphens w:val="false"/>
        <w:bidi w:val="0"/>
        <w:spacing w:before="0" w:after="0"/>
        <w:ind w:left="397" w:right="0" w:hanging="0"/>
        <w:jc w:val="both"/>
        <w:rPr>
          <w:rFonts w:ascii="Calibri" w:hAnsi="Calibri" w:cs="Calibri"/>
          <w:color w:val="00000A"/>
        </w:rPr>
      </w:pPr>
      <w:r>
        <w:rPr>
          <w:rFonts w:cs="Calibri" w:ascii="Calibri" w:hAnsi="Calibri"/>
          <w:color w:val="00000A"/>
        </w:rPr>
        <w:t>A vistoria, caso realizada, será na sede do Cremerj, situada a Praia de Botafogo, 228, Botafogo – Rio de Janeiro, RJ – CEP: 22.250-145.</w:t>
      </w:r>
    </w:p>
    <w:p>
      <w:pPr>
        <w:pStyle w:val="Normal"/>
        <w:widowControl/>
        <w:numPr>
          <w:ilvl w:val="0"/>
          <w:numId w:val="0"/>
        </w:numPr>
        <w:suppressAutoHyphens w:val="false"/>
        <w:bidi w:val="0"/>
        <w:spacing w:before="0" w:after="0"/>
        <w:ind w:left="397" w:right="0" w:hanging="0"/>
        <w:jc w:val="both"/>
        <w:rPr>
          <w:rFonts w:ascii="Calibri" w:hAnsi="Calibri" w:cs="Calibri"/>
          <w:color w:val="00000A"/>
        </w:rPr>
      </w:pPr>
      <w:r>
        <w:rPr>
          <w:rFonts w:cs="Calibri" w:ascii="Calibri" w:hAnsi="Calibri"/>
          <w:color w:val="00000A"/>
        </w:rPr>
      </w:r>
    </w:p>
    <w:p>
      <w:pPr>
        <w:pStyle w:val="Normal"/>
        <w:widowControl/>
        <w:numPr>
          <w:ilvl w:val="2"/>
          <w:numId w:val="1"/>
        </w:numPr>
        <w:suppressAutoHyphens w:val="false"/>
        <w:bidi w:val="0"/>
        <w:spacing w:before="0" w:after="0"/>
        <w:ind w:left="397" w:right="0" w:hanging="0"/>
        <w:jc w:val="both"/>
        <w:rPr>
          <w:rFonts w:ascii="Calibri" w:hAnsi="Calibri" w:cs="Calibri"/>
          <w:color w:val="00000A"/>
        </w:rPr>
      </w:pPr>
      <w:r>
        <w:rPr>
          <w:rFonts w:cs="Calibri" w:ascii="Calibri" w:hAnsi="Calibri"/>
          <w:color w:val="00000A"/>
        </w:rPr>
        <w:t xml:space="preserve">A vistoria deverá ser agendada pelo e-mail: </w:t>
      </w:r>
      <w:hyperlink r:id="rId2">
        <w:r>
          <w:rPr>
            <w:rStyle w:val="LinkdaInternet"/>
            <w:rFonts w:cs="Calibri" w:ascii="Calibri" w:hAnsi="Calibri"/>
            <w:color w:val="00000A"/>
          </w:rPr>
          <w:t>email@crm-rj.gov.br</w:t>
        </w:r>
      </w:hyperlink>
      <w:r>
        <w:rPr>
          <w:rFonts w:cs="Calibri" w:ascii="Calibri" w:hAnsi="Calibri"/>
          <w:color w:val="00000A"/>
        </w:rPr>
        <w:t>, ou pelo telefone (21) 3184-</w:t>
      </w:r>
      <w:r>
        <w:rPr>
          <w:rFonts w:cs="Calibri" w:ascii="Calibri" w:hAnsi="Calibri"/>
          <w:color w:val="C9211E"/>
        </w:rPr>
        <w:t>7180</w:t>
      </w:r>
    </w:p>
    <w:p>
      <w:pPr>
        <w:pStyle w:val="Normal"/>
        <w:numPr>
          <w:ilvl w:val="0"/>
          <w:numId w:val="0"/>
        </w:numPr>
        <w:suppressAutoHyphens w:val="false"/>
        <w:ind w:left="0"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Serão disponibilizados data e horário diferentes aos interessados em realizar a vistoria prévia.</w:t>
      </w:r>
    </w:p>
    <w:p>
      <w:pPr>
        <w:pStyle w:val="Normal"/>
        <w:numPr>
          <w:ilvl w:val="0"/>
          <w:numId w:val="0"/>
        </w:numPr>
        <w:suppressAutoHyphens w:val="false"/>
        <w:ind w:left="0"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Para a vistoria, o representante legal da empresa ou responsável técnico deverá estar devidamente identificado, apresentando documento de identidade civil e documento expedido pela empresa comprovando sua habilitação para a realização da vistoria. </w:t>
      </w:r>
    </w:p>
    <w:p>
      <w:pPr>
        <w:pStyle w:val="Normal"/>
        <w:numPr>
          <w:ilvl w:val="0"/>
          <w:numId w:val="0"/>
        </w:numPr>
        <w:suppressAutoHyphens w:val="false"/>
        <w:ind w:left="0" w:hanging="0"/>
        <w:jc w:val="both"/>
        <w:rPr>
          <w:rFonts w:ascii="Calibri" w:hAnsi="Calibri" w:cs="Calibri"/>
          <w:color w:val="00000A"/>
        </w:rPr>
      </w:pPr>
      <w:r>
        <w:rPr>
          <w:rFonts w:cs="Calibri" w:ascii="Calibri" w:hAnsi="Calibri"/>
          <w:color w:val="00000A"/>
        </w:rPr>
      </w:r>
    </w:p>
    <w:p>
      <w:pPr>
        <w:pStyle w:val="Normal"/>
        <w:widowControl/>
        <w:numPr>
          <w:ilvl w:val="2"/>
          <w:numId w:val="1"/>
        </w:numPr>
        <w:suppressAutoHyphens w:val="false"/>
        <w:bidi w:val="0"/>
        <w:spacing w:before="0" w:after="0"/>
        <w:ind w:left="397" w:right="0" w:hanging="0"/>
        <w:jc w:val="both"/>
        <w:rPr>
          <w:rFonts w:ascii="Calibri" w:hAnsi="Calibri" w:cs="Calibri"/>
          <w:color w:val="00000A"/>
        </w:rPr>
      </w:pPr>
      <w:r>
        <w:rPr>
          <w:rFonts w:cs="Calibri" w:ascii="Calibri" w:hAnsi="Calibri"/>
          <w:color w:val="00000A"/>
        </w:rPr>
        <w:t xml:space="preserve">No momento da vistoria será entregue ao representante legal a declaração de vistoria, </w:t>
      </w:r>
      <w:commentRangeStart w:id="15"/>
      <w:r>
        <w:rPr>
          <w:rFonts w:cs="Calibri" w:ascii="Calibri" w:hAnsi="Calibri"/>
          <w:color w:val="00000A"/>
        </w:rPr>
        <w:t>conforme anexo x,</w:t>
      </w:r>
      <w:r>
        <w:rPr>
          <w:rFonts w:cs="Calibri" w:ascii="Calibri" w:hAnsi="Calibri"/>
          <w:color w:val="00000A"/>
        </w:rPr>
      </w:r>
      <w:commentRangeEnd w:id="15"/>
      <w:r>
        <w:commentReference w:id="15"/>
      </w:r>
      <w:r>
        <w:rPr>
          <w:rFonts w:cs="Calibri" w:ascii="Calibri" w:hAnsi="Calibri"/>
          <w:color w:val="00000A"/>
        </w:rPr>
        <w:t xml:space="preserve"> que será assinada pelo mesmo, assim como pelo colaborador que o acompanhou.</w:t>
      </w:r>
    </w:p>
    <w:p>
      <w:pPr>
        <w:pStyle w:val="Normal"/>
        <w:suppressAutoHyphens w:val="false"/>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rPr>
      </w:pPr>
      <w:r>
        <w:rPr>
          <w:rFonts w:ascii="Calibri" w:hAnsi="Calibri"/>
          <w:color w:val="00000A"/>
        </w:rPr>
        <w:t xml:space="preserve">A não realização da vistoria não poderá embasar posteriores alegações de desconhecimento das instalações, dúvidas ou esquecimentos de quaisquer detalhes dos locais da prestação dos serviços, devendo o contratado assumir os ônus dos serviços decorrentes. </w:t>
      </w:r>
    </w:p>
    <w:p>
      <w:pPr>
        <w:pStyle w:val="Normal"/>
        <w:numPr>
          <w:ilvl w:val="0"/>
          <w:numId w:val="0"/>
        </w:numPr>
        <w:suppressAutoHyphens w:val="false"/>
        <w:ind w:left="0" w:hanging="0"/>
        <w:jc w:val="both"/>
        <w:rPr>
          <w:color w:val="00000A"/>
        </w:rPr>
      </w:pPr>
      <w:r>
        <w:rPr>
          <w:color w:val="00000A"/>
        </w:rPr>
      </w:r>
    </w:p>
    <w:p>
      <w:pPr>
        <w:pStyle w:val="Normal"/>
        <w:widowControl/>
        <w:numPr>
          <w:ilvl w:val="2"/>
          <w:numId w:val="1"/>
        </w:numPr>
        <w:suppressAutoHyphens w:val="false"/>
        <w:bidi w:val="0"/>
        <w:spacing w:before="0" w:after="0"/>
        <w:ind w:left="397" w:right="0" w:hanging="0"/>
        <w:jc w:val="both"/>
        <w:rPr>
          <w:rFonts w:ascii="Calibri" w:hAnsi="Calibri"/>
        </w:rPr>
      </w:pPr>
      <w:r>
        <w:rPr>
          <w:rFonts w:ascii="Calibri" w:hAnsi="Calibri"/>
        </w:rPr>
        <w:t xml:space="preserve">Optando pela não realização da vistoria o representante legal deve anexar juntamente com a sua proposta o modelos de declaração de não realização da vistoria </w:t>
      </w:r>
      <w:commentRangeStart w:id="16"/>
      <w:r>
        <w:rPr>
          <w:rFonts w:ascii="Calibri" w:hAnsi="Calibri"/>
        </w:rPr>
        <w:t>conforme anexo x.</w:t>
      </w:r>
      <w:commentRangeEnd w:id="16"/>
      <w:r>
        <w:commentReference w:id="16"/>
      </w:r>
      <w:r>
        <w:rPr>
          <w:rFonts w:ascii="Calibri" w:hAnsi="Calibri"/>
        </w:rPr>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cs="Calibri"/>
          <w:b/>
          <w:b/>
          <w:bCs/>
          <w:color w:val="FFFFFF"/>
        </w:rPr>
      </w:pPr>
      <w:r>
        <w:rPr>
          <w:rFonts w:cs="Calibri" w:ascii="Calibri" w:hAnsi="Calibri"/>
          <w:b/>
          <w:bCs/>
          <w:color w:val="FFFFFF"/>
        </w:rPr>
        <w:t>MODELO DE EXECUÇÃO CONTRATUAL (arts. 6º, XXIII, alínea “e” e 40, §1º, inciso II, da Lei nº 14.133/2021).</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 prazo para início da execução dos serviços é de </w:t>
      </w:r>
      <w:r>
        <w:rPr>
          <w:rFonts w:cs="Calibri" w:ascii="Calibri" w:hAnsi="Calibri"/>
          <w:color w:val="C9211E"/>
        </w:rPr>
        <w:t>xxx</w:t>
      </w:r>
      <w:r>
        <w:rPr>
          <w:rFonts w:cs="Calibri" w:ascii="Calibri" w:hAnsi="Calibri"/>
          <w:color w:val="00000A"/>
        </w:rPr>
        <w:t xml:space="preserve"> dias, contados do(a) </w:t>
      </w:r>
      <w:r>
        <w:rPr>
          <w:rFonts w:cs="Calibri" w:ascii="Calibri" w:hAnsi="Calibri"/>
          <w:color w:val="C9211E"/>
        </w:rPr>
        <w:t>(Envio da ordem de compra/serviço juntamente com a Nota de Empenho ou autorização da dispensa OU notificação OU assinatura do contrato etc.)</w:t>
      </w:r>
      <w:r>
        <w:rPr>
          <w:rFonts w:cs="Calibri" w:ascii="Calibri" w:hAnsi="Calibri"/>
          <w:color w:val="00000A"/>
        </w:rPr>
        <w:t>.</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color w:val="00000A"/>
        </w:rPr>
      </w:pPr>
      <w:r>
        <w:rPr>
          <w:rFonts w:cs="Calibri" w:ascii="Calibri" w:hAnsi="Calibri"/>
          <w:color w:val="00000A"/>
        </w:rPr>
        <w:t>A empresa Vencedora deverá indicar endereço de e-mail para recebimento da solicitação de serviço;</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bidi w:val="0"/>
        <w:ind w:left="794" w:right="0" w:hanging="0"/>
        <w:jc w:val="both"/>
        <w:rPr>
          <w:color w:val="auto"/>
        </w:rPr>
      </w:pPr>
      <w:r>
        <w:rPr>
          <w:rFonts w:cs="Calibri" w:ascii="Calibri" w:hAnsi="Calibri"/>
          <w:b/>
          <w:bCs/>
          <w:color w:val="auto"/>
          <w:u w:val="single"/>
        </w:rPr>
        <w:t>Condições de execução:</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 execução do objeto seguirá a seguinte dinâmica:</w:t>
      </w:r>
    </w:p>
    <w:p>
      <w:pPr>
        <w:pStyle w:val="Normal"/>
        <w:numPr>
          <w:ilvl w:val="2"/>
          <w:numId w:val="1"/>
        </w:numPr>
        <w:suppressAutoHyphens w:val="false"/>
        <w:ind w:left="794" w:hanging="0"/>
        <w:jc w:val="both"/>
        <w:rPr>
          <w:rFonts w:ascii="Calibri" w:hAnsi="Calibri"/>
        </w:rPr>
      </w:pPr>
      <w:r>
        <w:rPr>
          <w:rFonts w:cs="Calibri" w:ascii="Calibri" w:hAnsi="Calibri"/>
          <w:color w:val="C9211E"/>
        </w:rPr>
        <w:t>Fazer A.</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bidi w:val="0"/>
        <w:ind w:left="794" w:right="0" w:hanging="0"/>
        <w:jc w:val="both"/>
        <w:rPr>
          <w:color w:val="auto"/>
        </w:rPr>
      </w:pPr>
      <w:r>
        <w:rPr>
          <w:rFonts w:cs="Calibri" w:ascii="Calibri" w:hAnsi="Calibri"/>
          <w:b/>
          <w:bCs/>
          <w:color w:val="auto"/>
          <w:u w:val="single"/>
        </w:rPr>
        <w:t>Local da prestação dos serviços</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Os serviços serão prestados na sede do Cremerj, situada a Praia de Botafogo, 228, Botafogo – Rio de Janeiro, RJ – CEP: 22.250-145.</w:t>
      </w:r>
    </w:p>
    <w:p>
      <w:pPr>
        <w:pStyle w:val="Normal"/>
        <w:suppressAutoHyphens w:val="false"/>
        <w:jc w:val="both"/>
        <w:rPr>
          <w:rFonts w:ascii="Calibri" w:hAnsi="Calibri"/>
        </w:rPr>
      </w:pPr>
      <w:r>
        <w:rPr>
          <w:rFonts w:ascii="Calibri" w:hAnsi="Calibri"/>
        </w:rPr>
      </w:r>
    </w:p>
    <w:p>
      <w:pPr>
        <w:pStyle w:val="Normal"/>
        <w:bidi w:val="0"/>
        <w:ind w:left="794" w:right="0" w:hanging="0"/>
        <w:jc w:val="both"/>
        <w:rPr/>
      </w:pPr>
      <w:r>
        <w:rPr>
          <w:rFonts w:cs="Calibri" w:ascii="Calibri" w:hAnsi="Calibri"/>
          <w:b/>
          <w:bCs/>
          <w:u w:val="single"/>
        </w:rPr>
        <w:t>Materiais a serem disponibilizados</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Para a perfeita execução dos serviços, a Contratada deverá disponibilizar os materiais, equipamentos, ferramentas e utensílios necessários, nas quantidades estimadas e qualidades estabelecidas, promovendo sua substituição quando necessário.</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 fornecimento de uniformes dos profissionais que prestarão o serviço são de responsabilidade da CONTRATADA.</w:t>
      </w:r>
    </w:p>
    <w:p>
      <w:pPr>
        <w:pStyle w:val="Normal"/>
        <w:suppressAutoHyphens w:val="false"/>
        <w:jc w:val="both"/>
        <w:rPr>
          <w:rFonts w:ascii="Calibri" w:hAnsi="Calibri" w:cs="Calibri"/>
          <w:color w:val="00000A"/>
        </w:rPr>
      </w:pPr>
      <w:r>
        <w:rPr>
          <w:rFonts w:cs="Calibri" w:ascii="Calibri" w:hAnsi="Calibri"/>
          <w:color w:val="00000A"/>
        </w:rPr>
      </w:r>
    </w:p>
    <w:p>
      <w:pPr>
        <w:pStyle w:val="Normal"/>
        <w:bidi w:val="0"/>
        <w:ind w:left="794" w:right="0" w:hanging="0"/>
        <w:jc w:val="both"/>
        <w:rPr>
          <w:rFonts w:ascii="Calibri" w:hAnsi="Calibri" w:cs="Calibri"/>
          <w:color w:val="00000A"/>
        </w:rPr>
      </w:pPr>
      <w:r>
        <w:rPr>
          <w:rFonts w:cs="Calibri" w:ascii="Calibri" w:hAnsi="Calibri"/>
          <w:b/>
          <w:bCs/>
          <w:u w:val="single"/>
        </w:rPr>
        <w:t>Informações relevantes para o dimensionamento da proposta</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Descrever as informações que impactaram diretamente a execução do contrato.</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 verificação quanto ao estado dos itens após o transporte será de exclusiva responsabilidade da CONTRATADA, sendo que quaisquer danos ocorridos no transporte destes e observados a qualquer tempo, deverão ser substituídos, sem qualquer ônus ou solidariedade por parte da CONTRATANTE.</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Os bens serão recebidos provisoriamente, de forma sumária, no prazo de </w:t>
      </w:r>
      <w:r>
        <w:rPr>
          <w:rFonts w:cs="Calibri" w:ascii="Calibri" w:hAnsi="Calibri"/>
          <w:color w:val="C9211E"/>
        </w:rPr>
        <w:t>dois</w:t>
      </w:r>
      <w:r>
        <w:rPr>
          <w:rFonts w:cs="Calibri" w:ascii="Calibri" w:hAnsi="Calibri"/>
          <w:color w:val="00000A"/>
        </w:rPr>
        <w:t xml:space="preserve"> dias, pelo(a) responsável pelo acompanhamento e fiscalização do contrato, para efeito de posterior verificação de sua conformidade com as especificações constantes neste Termo de Referência e na proposta.</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Do recebimento provisório:</w:t>
      </w:r>
    </w:p>
    <w:p>
      <w:pPr>
        <w:pStyle w:val="Normal"/>
        <w:suppressAutoHyphens w:val="false"/>
        <w:jc w:val="both"/>
        <w:rPr>
          <w:rFonts w:ascii="Calibri" w:hAnsi="Calibri"/>
        </w:rPr>
      </w:pPr>
      <w:r>
        <w:rPr>
          <w:rFonts w:ascii="Calibri" w:hAnsi="Calibri"/>
        </w:rPr>
      </w:r>
    </w:p>
    <w:p>
      <w:pPr>
        <w:pStyle w:val="Normal"/>
        <w:numPr>
          <w:ilvl w:val="2"/>
          <w:numId w:val="1"/>
        </w:numPr>
        <w:suppressAutoHyphens w:val="false"/>
        <w:ind w:left="794" w:hanging="0"/>
        <w:jc w:val="both"/>
        <w:rPr>
          <w:rFonts w:ascii="Calibri" w:hAnsi="Calibri"/>
        </w:rPr>
      </w:pPr>
      <w:r>
        <w:rPr>
          <w:rFonts w:ascii="Calibri" w:hAnsi="Calibri"/>
        </w:rPr>
        <w:t>Nos locais de entrega, o servidor competente fará o recebimento provisório dos itens, limitando-se a verificar o conteúdo do(s) volume(s) com o discriminado na Nota Fiscal;</w:t>
      </w:r>
    </w:p>
    <w:p>
      <w:pPr>
        <w:pStyle w:val="Normal"/>
        <w:suppressAutoHyphens w:val="false"/>
        <w:ind w:left="794" w:hanging="0"/>
        <w:jc w:val="both"/>
        <w:rPr>
          <w:rFonts w:ascii="Calibri" w:hAnsi="Calibri"/>
        </w:rPr>
      </w:pPr>
      <w:r>
        <w:rPr>
          <w:rFonts w:ascii="Calibri" w:hAnsi="Calibri"/>
        </w:rPr>
      </w:r>
    </w:p>
    <w:p>
      <w:pPr>
        <w:pStyle w:val="Normal"/>
        <w:numPr>
          <w:ilvl w:val="2"/>
          <w:numId w:val="1"/>
        </w:numPr>
        <w:suppressAutoHyphens w:val="false"/>
        <w:ind w:left="794" w:hanging="0"/>
        <w:jc w:val="both"/>
        <w:rPr>
          <w:rFonts w:ascii="Calibri" w:hAnsi="Calibri"/>
        </w:rPr>
      </w:pPr>
      <w:r>
        <w:rPr>
          <w:rFonts w:ascii="Calibri" w:hAnsi="Calibri"/>
        </w:rPr>
        <w:t>Em caso de conformidade, o(s) servidor(es) fará(ão) constar no verso da Nota Fiscal a data de entrega dos itens;</w:t>
      </w:r>
    </w:p>
    <w:p>
      <w:pPr>
        <w:pStyle w:val="Normal"/>
        <w:suppressAutoHyphens w:val="false"/>
        <w:ind w:left="794" w:hanging="0"/>
        <w:jc w:val="both"/>
        <w:rPr>
          <w:rFonts w:ascii="Calibri" w:hAnsi="Calibri"/>
        </w:rPr>
      </w:pPr>
      <w:r>
        <w:rPr>
          <w:rFonts w:ascii="Calibri" w:hAnsi="Calibri"/>
        </w:rPr>
      </w:r>
    </w:p>
    <w:p>
      <w:pPr>
        <w:pStyle w:val="Normal"/>
        <w:numPr>
          <w:ilvl w:val="2"/>
          <w:numId w:val="1"/>
        </w:numPr>
        <w:suppressAutoHyphens w:val="false"/>
        <w:ind w:left="794" w:hanging="0"/>
        <w:jc w:val="both"/>
        <w:rPr>
          <w:rFonts w:ascii="Calibri" w:hAnsi="Calibri"/>
        </w:rPr>
      </w:pPr>
      <w:r>
        <w:rPr>
          <w:rFonts w:ascii="Calibri" w:hAnsi="Calibri"/>
        </w:rPr>
        <w:t>Em caso de não conformidade dos itens entregues com as informações contidas na Nota Fiscal, o(s) servidor(es) competente(s) não receberá(ão) os bens e discriminará(ão), mediante termo circunstanciado, em duas vias, as irregularidades encontradas;</w:t>
      </w:r>
    </w:p>
    <w:p>
      <w:pPr>
        <w:pStyle w:val="Normal"/>
        <w:suppressAutoHyphens w:val="false"/>
        <w:ind w:left="794" w:hanging="0"/>
        <w:jc w:val="both"/>
        <w:rPr>
          <w:rFonts w:ascii="Calibri" w:hAnsi="Calibri"/>
        </w:rPr>
      </w:pPr>
      <w:r>
        <w:rPr>
          <w:rFonts w:ascii="Calibri" w:hAnsi="Calibri"/>
        </w:rPr>
      </w:r>
    </w:p>
    <w:p>
      <w:pPr>
        <w:pStyle w:val="Normal"/>
        <w:numPr>
          <w:ilvl w:val="2"/>
          <w:numId w:val="1"/>
        </w:numPr>
        <w:suppressAutoHyphens w:val="false"/>
        <w:ind w:left="794" w:hanging="0"/>
        <w:jc w:val="both"/>
        <w:rPr>
          <w:rFonts w:ascii="Calibri" w:hAnsi="Calibri"/>
        </w:rPr>
      </w:pPr>
      <w:r>
        <w:rPr>
          <w:rFonts w:ascii="Calibri" w:hAnsi="Calibri"/>
        </w:rPr>
        <w:t>Uma das vias do termo circunstanciado ficará com o(s) servidor(es) competente(s) e a outra será encaminhada para o fornecedor, até o primeiro dia útil subsequente.</w:t>
      </w:r>
    </w:p>
    <w:p>
      <w:pPr>
        <w:pStyle w:val="Normal"/>
        <w:suppressAutoHyphens w:val="false"/>
        <w:ind w:left="794" w:hanging="0"/>
        <w:jc w:val="both"/>
        <w:rPr>
          <w:rFonts w:ascii="Calibri" w:hAnsi="Calibri"/>
        </w:rPr>
      </w:pPr>
      <w:r>
        <w:rPr>
          <w:rFonts w:ascii="Calibri" w:hAnsi="Calibri"/>
        </w:rPr>
      </w:r>
    </w:p>
    <w:p>
      <w:pPr>
        <w:pStyle w:val="Normal"/>
        <w:numPr>
          <w:ilvl w:val="2"/>
          <w:numId w:val="1"/>
        </w:numPr>
        <w:suppressAutoHyphens w:val="false"/>
        <w:ind w:left="794" w:hanging="0"/>
        <w:jc w:val="both"/>
        <w:rPr>
          <w:rFonts w:ascii="Calibri" w:hAnsi="Calibri"/>
        </w:rPr>
      </w:pPr>
      <w:r>
        <w:rPr>
          <w:rFonts w:ascii="Calibri" w:hAnsi="Calibri"/>
        </w:rPr>
        <w:t>O(s) servidor(es) competente(s) ficará(ão) responsável(veis) por consolidar as cópias digitalizadas das Notas Fiscais assinadas, dos itens entregues e a emitirem o termo de recebimento provisório;</w:t>
      </w:r>
    </w:p>
    <w:p>
      <w:pPr>
        <w:pStyle w:val="Normal"/>
        <w:suppressAutoHyphens w:val="false"/>
        <w:ind w:left="794" w:hanging="0"/>
        <w:jc w:val="both"/>
        <w:rPr>
          <w:rFonts w:ascii="Calibri" w:hAnsi="Calibri"/>
        </w:rPr>
      </w:pPr>
      <w:r>
        <w:rPr>
          <w:rFonts w:ascii="Calibri" w:hAnsi="Calibri"/>
        </w:rPr>
      </w:r>
    </w:p>
    <w:p>
      <w:pPr>
        <w:pStyle w:val="Normal"/>
        <w:numPr>
          <w:ilvl w:val="2"/>
          <w:numId w:val="1"/>
        </w:numPr>
        <w:suppressAutoHyphens w:val="false"/>
        <w:ind w:left="794" w:hanging="0"/>
        <w:jc w:val="both"/>
        <w:rPr>
          <w:rFonts w:ascii="Calibri" w:hAnsi="Calibri"/>
        </w:rPr>
      </w:pPr>
      <w:r>
        <w:rPr>
          <w:rFonts w:ascii="Calibri" w:hAnsi="Calibri"/>
        </w:rPr>
        <w:t>Após isso, o(s) servidor(es) competente(s) enviará(ão) as cópias digitalizadas das Notas Fiscais de entrega dos itens, o termo de recebimento provisório e eventuais termos de não conformidade ao gestor do contrato em até 5 (cinco) dias úteis após a entrega.</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Os bens poderão ser rejeitados, no todo ou em parte, quando em desacordo com as especificações constantes neste Termo de Referência e na proposta, devendo ser substituídos no prazo de </w:t>
      </w:r>
      <w:r>
        <w:rPr>
          <w:rFonts w:cs="Calibri" w:ascii="Calibri" w:hAnsi="Calibri"/>
          <w:color w:val="C9211E"/>
        </w:rPr>
        <w:t>sete</w:t>
      </w:r>
      <w:r>
        <w:rPr>
          <w:rFonts w:cs="Calibri" w:ascii="Calibri" w:hAnsi="Calibri"/>
          <w:color w:val="00000A"/>
        </w:rPr>
        <w:t xml:space="preserve"> dias, a contar da notificação da contratada, às suas custas, sem prejuízo da aplicação das penalidades.</w:t>
      </w:r>
    </w:p>
    <w:p>
      <w:pPr>
        <w:pStyle w:val="Normal"/>
        <w:suppressAutoHyphens w:val="false"/>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Os bens serão recebidos definitivamente no prazo de </w:t>
      </w:r>
      <w:r>
        <w:rPr>
          <w:rFonts w:cs="Calibri" w:ascii="Calibri" w:hAnsi="Calibri"/>
          <w:color w:val="C9211E"/>
        </w:rPr>
        <w:t>sete</w:t>
      </w:r>
      <w:r>
        <w:rPr>
          <w:rFonts w:cs="Calibri" w:ascii="Calibri" w:hAnsi="Calibri"/>
          <w:color w:val="00000A"/>
        </w:rPr>
        <w:t xml:space="preserve"> dias, contados do recebimento provisório, após a verificação da qualidade e quantidade do material e consequente aceitação mediante termo detalhado.</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Na hipótese da verificação a que se refere o subitem anterior não ser procedida dentro do prazo fixado, reputar-se-á como realizada, consumando-se o recebimento definitivo no dia do esgotamento do prazo.</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 recebimento provisório ou definitivo não excluirá a responsabilidade civil pela solidez e pela segurança do serviço nem a responsabilidade ético-profissional pela perfeita execução do contrato.</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cs="Calibri"/>
          <w:b/>
          <w:b/>
          <w:bCs/>
          <w:color w:val="FFFFFF"/>
        </w:rPr>
      </w:pPr>
      <w:r>
        <w:rPr>
          <w:rFonts w:cs="Calibri" w:ascii="Calibri" w:hAnsi="Calibri"/>
          <w:b/>
          <w:bCs/>
          <w:color w:val="FFFFFF"/>
        </w:rPr>
        <w:t xml:space="preserve">MODELO DE GESTÃO DO CONTRATO </w:t>
      </w:r>
    </w:p>
    <w:p>
      <w:pPr>
        <w:pStyle w:val="Normal"/>
        <w:ind w:left="794" w:hanging="0"/>
        <w:jc w:val="both"/>
        <w:rPr>
          <w:rFonts w:ascii="Calibri" w:hAnsi="Calibri" w:cs="Calibri"/>
          <w:color w:val="00000A"/>
        </w:rPr>
      </w:pPr>
      <w:r>
        <w:rPr>
          <w:rFonts w:cs="Calibri" w:ascii="Calibri" w:hAnsi="Calibri"/>
          <w:color w:val="00000A"/>
        </w:rPr>
      </w:r>
    </w:p>
    <w:p>
      <w:pPr>
        <w:pStyle w:val="Normal"/>
        <w:widowControl/>
        <w:numPr>
          <w:ilvl w:val="1"/>
          <w:numId w:val="1"/>
        </w:numPr>
        <w:suppressAutoHyphens w:val="false"/>
        <w:bidi w:val="0"/>
        <w:spacing w:before="0" w:after="0"/>
        <w:ind w:left="0" w:right="0" w:hanging="0"/>
        <w:jc w:val="both"/>
        <w:rPr>
          <w:rFonts w:ascii="Calibri" w:hAnsi="Calibri"/>
        </w:rPr>
      </w:pPr>
      <w:r>
        <w:rPr>
          <w:rFonts w:cs="Calibri" w:ascii="Calibri" w:hAnsi="Calibri"/>
          <w:color w:val="00000A"/>
        </w:rPr>
        <w:t>O contrato deverá ser executado fielmente pelas partes, de acordo com as cláusulas avençadas e as normas da Lei nº 14.133, de 2021, e cada parte responderá pelas consequências de sua inexecução total ou parcial (Lei nº 14.133/2021, art. 115, caput).</w:t>
      </w:r>
    </w:p>
    <w:p>
      <w:pPr>
        <w:pStyle w:val="Normal"/>
        <w:widowControl/>
        <w:numPr>
          <w:ilvl w:val="0"/>
          <w:numId w:val="0"/>
        </w:numPr>
        <w:suppressAutoHyphens w:val="false"/>
        <w:bidi w:val="0"/>
        <w:spacing w:before="0" w:after="0"/>
        <w:ind w:left="0" w:right="0" w:hanging="0"/>
        <w:jc w:val="both"/>
        <w:rPr>
          <w:rFonts w:ascii="Calibri" w:hAnsi="Calibri" w:cs="Calibri"/>
          <w:color w:val="00000A"/>
        </w:rPr>
      </w:pPr>
      <w:r>
        <w:rPr>
          <w:rFonts w:cs="Calibri" w:ascii="Calibri" w:hAnsi="Calibri"/>
          <w:color w:val="00000A"/>
        </w:rPr>
      </w:r>
    </w:p>
    <w:p>
      <w:pPr>
        <w:pStyle w:val="Normal"/>
        <w:widowControl/>
        <w:numPr>
          <w:ilvl w:val="1"/>
          <w:numId w:val="1"/>
        </w:numPr>
        <w:suppressAutoHyphens w:val="false"/>
        <w:bidi w:val="0"/>
        <w:spacing w:before="0" w:after="0"/>
        <w:ind w:left="0" w:right="0" w:hanging="0"/>
        <w:jc w:val="both"/>
        <w:rPr>
          <w:rFonts w:ascii="Calibri" w:hAnsi="Calibri"/>
        </w:rPr>
      </w:pPr>
      <w:r>
        <w:rPr>
          <w:rFonts w:cs="Calibri" w:ascii="Calibri" w:hAnsi="Calibri"/>
          <w:color w:val="00000A"/>
        </w:rPr>
        <w:t>Em caso de impedimento, ordem de paralisação ou suspensão do contrato, o cronograma de execução será prorrogado automaticamente pelo tempo correspondente, anotadas tais circunstâncias mediante simples apostila (Lei nº 14.133/2021, art. 115, §5º).</w:t>
      </w:r>
    </w:p>
    <w:p>
      <w:pPr>
        <w:pStyle w:val="Normal"/>
        <w:widowControl/>
        <w:suppressAutoHyphens w:val="false"/>
        <w:bidi w:val="0"/>
        <w:spacing w:before="0" w:after="0"/>
        <w:ind w:left="0" w:right="0" w:hanging="0"/>
        <w:jc w:val="both"/>
        <w:rPr>
          <w:rFonts w:ascii="Calibri" w:hAnsi="Calibri" w:cs="Calibri"/>
          <w:color w:val="00000A"/>
        </w:rPr>
      </w:pPr>
      <w:r>
        <w:rPr>
          <w:rFonts w:cs="Calibri" w:ascii="Calibri" w:hAnsi="Calibri"/>
          <w:color w:val="00000A"/>
        </w:rPr>
      </w:r>
    </w:p>
    <w:p>
      <w:pPr>
        <w:pStyle w:val="Normal"/>
        <w:widowControl/>
        <w:numPr>
          <w:ilvl w:val="1"/>
          <w:numId w:val="1"/>
        </w:numPr>
        <w:suppressAutoHyphens w:val="false"/>
        <w:bidi w:val="0"/>
        <w:spacing w:before="0" w:after="0"/>
        <w:ind w:left="0" w:right="0" w:hanging="0"/>
        <w:jc w:val="both"/>
        <w:rPr>
          <w:rFonts w:ascii="Calibri" w:hAnsi="Calibri"/>
        </w:rPr>
      </w:pPr>
      <w:r>
        <w:rPr>
          <w:rFonts w:cs="Calibri" w:ascii="Calibri" w:hAnsi="Calibri"/>
          <w:color w:val="00000A"/>
        </w:rPr>
        <w:t>As comunicações entre o Cremerj e a contratada devem ser realizadas por escrito sempre que o ato exigir tal formalidade, admitindo-se, excepcionalmente, o uso de mensagem eletrônica para esse fim (IN 5/2017, art. 44, §2º).</w:t>
      </w:r>
    </w:p>
    <w:p>
      <w:pPr>
        <w:pStyle w:val="Normal"/>
        <w:widowControl/>
        <w:suppressAutoHyphens w:val="false"/>
        <w:bidi w:val="0"/>
        <w:spacing w:before="0" w:after="0"/>
        <w:ind w:left="0" w:right="0" w:hanging="0"/>
        <w:jc w:val="both"/>
        <w:rPr>
          <w:rFonts w:ascii="Calibri" w:hAnsi="Calibri" w:cs="Calibri"/>
          <w:color w:val="00000A"/>
        </w:rPr>
      </w:pPr>
      <w:r>
        <w:rPr>
          <w:rFonts w:cs="Calibri" w:ascii="Calibri" w:hAnsi="Calibri"/>
          <w:color w:val="00000A"/>
        </w:rPr>
      </w:r>
    </w:p>
    <w:p>
      <w:pPr>
        <w:pStyle w:val="Normal"/>
        <w:widowControl/>
        <w:numPr>
          <w:ilvl w:val="1"/>
          <w:numId w:val="1"/>
        </w:numPr>
        <w:suppressAutoHyphens w:val="false"/>
        <w:bidi w:val="0"/>
        <w:spacing w:before="0" w:after="0"/>
        <w:ind w:left="0" w:right="0" w:hanging="0"/>
        <w:jc w:val="both"/>
        <w:rPr>
          <w:rFonts w:ascii="Calibri" w:hAnsi="Calibri"/>
        </w:rPr>
      </w:pPr>
      <w:r>
        <w:rPr>
          <w:rFonts w:cs="Calibri" w:ascii="Calibri" w:hAnsi="Calibri"/>
          <w:color w:val="00000A"/>
        </w:rPr>
        <w:t>O contratado será responsável pelos danos causados diretamente ao Cremerj ou a terceiros em razão da execução do contrato, e não excluirá nem reduzirá essa responsabilidade a fiscalização ou o acompanhamento pelo contratante (Lei nº 14.133/2021, art. 120).</w:t>
      </w:r>
    </w:p>
    <w:p>
      <w:pPr>
        <w:pStyle w:val="Normal"/>
        <w:widowControl/>
        <w:suppressAutoHyphens w:val="false"/>
        <w:bidi w:val="0"/>
        <w:spacing w:before="0" w:after="0"/>
        <w:ind w:left="0" w:right="0" w:hanging="0"/>
        <w:jc w:val="both"/>
        <w:rPr>
          <w:rFonts w:ascii="Calibri" w:hAnsi="Calibri" w:cs="Calibri"/>
          <w:color w:val="00000A"/>
        </w:rPr>
      </w:pPr>
      <w:r>
        <w:rPr>
          <w:rFonts w:cs="Calibri" w:ascii="Calibri" w:hAnsi="Calibri"/>
          <w:color w:val="00000A"/>
        </w:rPr>
      </w:r>
    </w:p>
    <w:p>
      <w:pPr>
        <w:pStyle w:val="Normal"/>
        <w:widowControl/>
        <w:numPr>
          <w:ilvl w:val="1"/>
          <w:numId w:val="1"/>
        </w:numPr>
        <w:suppressAutoHyphens w:val="false"/>
        <w:bidi w:val="0"/>
        <w:spacing w:before="0" w:after="0"/>
        <w:ind w:left="0" w:right="0" w:hanging="0"/>
        <w:jc w:val="both"/>
        <w:rPr>
          <w:rFonts w:ascii="Calibri" w:hAnsi="Calibri"/>
        </w:rPr>
      </w:pPr>
      <w:r>
        <w:rPr>
          <w:rFonts w:cs="Calibri" w:ascii="Calibri" w:hAnsi="Calibri"/>
          <w:color w:val="00000A"/>
        </w:rPr>
        <w:t>O Cremerj poderá convocar representante da empresa para adoção de providências que devam ser cumpridas de imediato.</w:t>
      </w:r>
    </w:p>
    <w:p>
      <w:pPr>
        <w:pStyle w:val="Normal"/>
        <w:widowControl/>
        <w:numPr>
          <w:ilvl w:val="0"/>
          <w:numId w:val="0"/>
        </w:numPr>
        <w:suppressAutoHyphens w:val="false"/>
        <w:bidi w:val="0"/>
        <w:spacing w:before="0" w:after="0"/>
        <w:ind w:left="794" w:right="0" w:hanging="0"/>
        <w:jc w:val="both"/>
        <w:rPr>
          <w:rFonts w:ascii="Calibri" w:hAnsi="Calibri" w:cs="Calibri"/>
          <w:color w:val="00000A"/>
        </w:rPr>
      </w:pPr>
      <w:r>
        <w:rPr>
          <w:rFonts w:cs="Calibri" w:ascii="Calibri" w:hAnsi="Calibri"/>
          <w:color w:val="00000A"/>
        </w:rPr>
      </w:r>
    </w:p>
    <w:p>
      <w:pPr>
        <w:pStyle w:val="Normal"/>
        <w:widowControl/>
        <w:numPr>
          <w:ilvl w:val="1"/>
          <w:numId w:val="1"/>
        </w:numPr>
        <w:suppressAutoHyphens w:val="false"/>
        <w:bidi w:val="0"/>
        <w:spacing w:before="0" w:after="0"/>
        <w:ind w:left="0" w:right="0" w:hanging="0"/>
        <w:jc w:val="both"/>
        <w:rPr>
          <w:rFonts w:ascii="Calibri" w:hAnsi="Calibri"/>
        </w:rPr>
      </w:pPr>
      <w:r>
        <w:rPr>
          <w:rFonts w:cs="Calibri" w:ascii="Calibri" w:hAnsi="Calibri"/>
          <w:color w:val="00000A"/>
        </w:rPr>
        <w:t>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pPr>
        <w:pStyle w:val="Normal"/>
        <w:widowControl/>
        <w:numPr>
          <w:ilvl w:val="0"/>
          <w:numId w:val="0"/>
        </w:numPr>
        <w:suppressAutoHyphens w:val="false"/>
        <w:bidi w:val="0"/>
        <w:spacing w:before="0" w:after="0"/>
        <w:ind w:left="794" w:right="0" w:hanging="0"/>
        <w:jc w:val="both"/>
        <w:rPr>
          <w:rFonts w:ascii="Calibri" w:hAnsi="Calibri" w:cs="Calibri"/>
          <w:color w:val="00000A"/>
        </w:rPr>
      </w:pPr>
      <w:r>
        <w:rPr>
          <w:rFonts w:cs="Calibri" w:ascii="Calibri" w:hAnsi="Calibri"/>
          <w:color w:val="00000A"/>
        </w:rPr>
      </w:r>
    </w:p>
    <w:p>
      <w:pPr>
        <w:pStyle w:val="Normal"/>
        <w:widowControl/>
        <w:numPr>
          <w:ilvl w:val="1"/>
          <w:numId w:val="1"/>
        </w:numPr>
        <w:suppressAutoHyphens w:val="false"/>
        <w:bidi w:val="0"/>
        <w:spacing w:before="0" w:after="0"/>
        <w:ind w:left="0" w:right="0" w:hanging="0"/>
        <w:jc w:val="both"/>
        <w:rPr>
          <w:rFonts w:ascii="Calibri" w:hAnsi="Calibri"/>
        </w:rPr>
      </w:pPr>
      <w:r>
        <w:rPr>
          <w:rFonts w:cs="Calibri" w:ascii="Calibri" w:hAnsi="Calibri"/>
          <w:color w:val="00000A"/>
        </w:rPr>
        <w:t>Somente o contratado será responsável pelos encargos trabalhistas, previdenciários, fiscais e comerciais resultantes da execução do contrato (Lei nº 14.133/2021, art. 121, caput).</w:t>
      </w:r>
    </w:p>
    <w:p>
      <w:pPr>
        <w:pStyle w:val="Normal"/>
        <w:widowControl/>
        <w:numPr>
          <w:ilvl w:val="0"/>
          <w:numId w:val="0"/>
        </w:numPr>
        <w:suppressAutoHyphens w:val="false"/>
        <w:bidi w:val="0"/>
        <w:spacing w:before="0" w:after="0"/>
        <w:ind w:left="794" w:right="0" w:hanging="0"/>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510" w:right="0" w:hanging="0"/>
        <w:jc w:val="both"/>
        <w:rPr>
          <w:rFonts w:ascii="Calibri" w:hAnsi="Calibri"/>
        </w:rPr>
      </w:pPr>
      <w:r>
        <w:rPr>
          <w:rFonts w:ascii="Calibri" w:hAnsi="Calibri"/>
        </w:rPr>
        <w:t>A inadimplência do contratado em relação aos encargos trabalhistas, fiscais e comerciais não transferirá ao Cremerj a responsabilidade pelo seu pagamento e não poderá onerar o objeto do contrato (Lei nº 14.133/2021, art. 121, §1º).</w:t>
      </w:r>
    </w:p>
    <w:p>
      <w:pPr>
        <w:pStyle w:val="Normal"/>
        <w:widowControl/>
        <w:suppressAutoHyphens w:val="false"/>
        <w:bidi w:val="0"/>
        <w:spacing w:before="0" w:after="0"/>
        <w:ind w:left="0" w:right="0" w:hanging="0"/>
        <w:jc w:val="both"/>
        <w:rPr>
          <w:rFonts w:ascii="Calibri" w:hAnsi="Calibri" w:cs="Calibri"/>
          <w:color w:val="00000A"/>
        </w:rPr>
      </w:pPr>
      <w:r>
        <w:rPr>
          <w:rFonts w:cs="Calibri" w:ascii="Calibri" w:hAnsi="Calibri"/>
          <w:color w:val="00000A"/>
        </w:rPr>
      </w:r>
    </w:p>
    <w:p>
      <w:pPr>
        <w:pStyle w:val="Normal"/>
        <w:widowControl/>
        <w:numPr>
          <w:ilvl w:val="0"/>
          <w:numId w:val="0"/>
        </w:numPr>
        <w:suppressAutoHyphens w:val="false"/>
        <w:bidi w:val="0"/>
        <w:spacing w:before="0" w:after="0"/>
        <w:ind w:left="794" w:right="0" w:hanging="0"/>
        <w:jc w:val="both"/>
        <w:rPr>
          <w:rFonts w:ascii="Calibri" w:hAnsi="Calibri"/>
        </w:rPr>
      </w:pPr>
      <w:r>
        <w:rPr>
          <w:rFonts w:cs="Calibri" w:ascii="Calibri" w:hAnsi="Calibri"/>
          <w:b/>
          <w:bCs/>
          <w:color w:val="00000A"/>
          <w:u w:val="single"/>
        </w:rPr>
        <w:t>Da fiscalização do contrato:</w:t>
      </w:r>
    </w:p>
    <w:p>
      <w:pPr>
        <w:pStyle w:val="Normal"/>
        <w:widowControl/>
        <w:numPr>
          <w:ilvl w:val="0"/>
          <w:numId w:val="0"/>
        </w:numPr>
        <w:suppressAutoHyphens w:val="false"/>
        <w:bidi w:val="0"/>
        <w:spacing w:before="0" w:after="0"/>
        <w:ind w:left="0" w:right="0" w:hanging="0"/>
        <w:jc w:val="both"/>
        <w:rPr>
          <w:rFonts w:ascii="Calibri" w:hAnsi="Calibri" w:cs="Calibri"/>
          <w:color w:val="00000A"/>
        </w:rPr>
      </w:pPr>
      <w:r>
        <w:rPr>
          <w:rFonts w:cs="Calibri" w:ascii="Calibri" w:hAnsi="Calibri"/>
          <w:color w:val="00000A"/>
        </w:rPr>
      </w:r>
    </w:p>
    <w:p>
      <w:pPr>
        <w:pStyle w:val="Normal"/>
        <w:widowControl/>
        <w:numPr>
          <w:ilvl w:val="1"/>
          <w:numId w:val="1"/>
        </w:numPr>
        <w:suppressAutoHyphens w:val="false"/>
        <w:bidi w:val="0"/>
        <w:spacing w:before="0" w:after="0"/>
        <w:ind w:left="0" w:right="0" w:hanging="0"/>
        <w:jc w:val="both"/>
        <w:rPr>
          <w:rFonts w:ascii="Calibri" w:hAnsi="Calibri"/>
        </w:rPr>
      </w:pPr>
      <w:r>
        <w:rPr>
          <w:rFonts w:ascii="Calibri" w:hAnsi="Calibri"/>
          <w:b w:val="false"/>
          <w:bCs w:val="false"/>
        </w:rPr>
        <w:t xml:space="preserve">A execução do contrato deverá ser acompanhada e fiscalizada pelo(s) fiscal(is) do contrato, ou pelos respectivos substitutos (Lei nº 14.133/2021, art. 117, caput). </w:t>
      </w:r>
    </w:p>
    <w:p>
      <w:pPr>
        <w:pStyle w:val="Normal"/>
        <w:numPr>
          <w:ilvl w:val="0"/>
          <w:numId w:val="0"/>
        </w:numPr>
        <w:suppressAutoHyphens w:val="false"/>
        <w:ind w:left="2381" w:right="0" w:hanging="0"/>
        <w:jc w:val="both"/>
        <w:rPr>
          <w:rFonts w:ascii="Calibri" w:hAnsi="Calibri"/>
          <w:b w:val="false"/>
          <w:b w:val="false"/>
          <w:bCs w:val="false"/>
        </w:rPr>
      </w:pPr>
      <w:r>
        <w:rPr>
          <w:rFonts w:ascii="Calibri" w:hAnsi="Calibri"/>
          <w:b w:val="false"/>
          <w:bCs w:val="false"/>
        </w:rPr>
      </w:r>
    </w:p>
    <w:p>
      <w:pPr>
        <w:pStyle w:val="Normal"/>
        <w:numPr>
          <w:ilvl w:val="1"/>
          <w:numId w:val="1"/>
        </w:numPr>
        <w:suppressAutoHyphens w:val="false"/>
        <w:ind w:left="0" w:right="0" w:hanging="0"/>
        <w:jc w:val="both"/>
        <w:rPr>
          <w:rFonts w:ascii="Calibri" w:hAnsi="Calibri"/>
        </w:rPr>
      </w:pPr>
      <w:r>
        <w:rPr>
          <w:rFonts w:ascii="Calibri" w:hAnsi="Calibri"/>
          <w:b w:val="false"/>
          <w:bCs w:val="false"/>
        </w:rPr>
        <w:t>O fiscal do contrato informará a seus superiores, em tempo hábil para a adoção das medidas convenientes, a situação que demandar decisão ou providência que ultrapasse sua competência (Lei nº 14.133/2021, art. 117, §2º).</w:t>
      </w:r>
    </w:p>
    <w:p>
      <w:pPr>
        <w:pStyle w:val="Normal"/>
        <w:numPr>
          <w:ilvl w:val="0"/>
          <w:numId w:val="0"/>
        </w:numPr>
        <w:suppressAutoHyphens w:val="false"/>
        <w:ind w:left="794" w:right="0" w:hanging="0"/>
        <w:jc w:val="both"/>
        <w:rPr>
          <w:rFonts w:ascii="Calibri" w:hAnsi="Calibri"/>
          <w:b w:val="false"/>
          <w:b w:val="false"/>
          <w:bCs w:val="false"/>
        </w:rPr>
      </w:pPr>
      <w:r>
        <w:rPr>
          <w:rFonts w:ascii="Calibri" w:hAnsi="Calibri"/>
          <w:b w:val="false"/>
          <w:bCs w:val="false"/>
        </w:rPr>
      </w:r>
    </w:p>
    <w:p>
      <w:pPr>
        <w:pStyle w:val="Normal"/>
        <w:numPr>
          <w:ilvl w:val="1"/>
          <w:numId w:val="1"/>
        </w:numPr>
        <w:suppressAutoHyphens w:val="false"/>
        <w:ind w:left="0" w:right="0" w:hanging="0"/>
        <w:jc w:val="both"/>
        <w:rPr>
          <w:rFonts w:ascii="Calibri" w:hAnsi="Calibri"/>
        </w:rPr>
      </w:pPr>
      <w:r>
        <w:rPr>
          <w:rFonts w:ascii="Calibri" w:hAnsi="Calibri"/>
          <w:b w:val="false"/>
          <w:bCs w:val="false"/>
        </w:rPr>
        <w:t>O fiscal técnico do contrato anotará no histórico de gerenciamento do contrato todas as ocorrências relacionadas à execução do contrato, com a descrição do que for necessário para a regularização das faltas ou dos defeitos observados. (Lei nº 14.133, de 2021, art. 117, §1º, e Decreto nº 11.246, de 2022, art. 22, II);</w:t>
      </w:r>
    </w:p>
    <w:p>
      <w:pPr>
        <w:pStyle w:val="Normal"/>
        <w:numPr>
          <w:ilvl w:val="0"/>
          <w:numId w:val="0"/>
        </w:numPr>
        <w:suppressAutoHyphens w:val="false"/>
        <w:ind w:left="794" w:right="0" w:hanging="0"/>
        <w:jc w:val="both"/>
        <w:rPr>
          <w:rFonts w:ascii="Calibri" w:hAnsi="Calibri"/>
          <w:b w:val="false"/>
          <w:b w:val="false"/>
          <w:bCs w:val="false"/>
        </w:rPr>
      </w:pPr>
      <w:r>
        <w:rPr>
          <w:rFonts w:ascii="Calibri" w:hAnsi="Calibri"/>
          <w:b w:val="false"/>
          <w:bCs w:val="false"/>
        </w:rPr>
      </w:r>
    </w:p>
    <w:p>
      <w:pPr>
        <w:pStyle w:val="Normal"/>
        <w:numPr>
          <w:ilvl w:val="1"/>
          <w:numId w:val="1"/>
        </w:numPr>
        <w:suppressAutoHyphens w:val="false"/>
        <w:ind w:left="0" w:right="0" w:hanging="0"/>
        <w:jc w:val="both"/>
        <w:rPr>
          <w:rFonts w:ascii="Calibri" w:hAnsi="Calibri"/>
        </w:rPr>
      </w:pPr>
      <w:r>
        <w:rPr>
          <w:rFonts w:ascii="Calibri" w:hAnsi="Calibri"/>
          <w:b w:val="false"/>
          <w:bCs w:val="false"/>
        </w:rPr>
        <w:t xml:space="preserve">Identificada qualquer inexatidão ou irregularidade, o fiscal técnico do contrato emitirá notificações para a correção da execução do contrato, determinando prazo para a correção. (Decreto nº 11.246, de 2022, art. 22, III); </w:t>
      </w:r>
    </w:p>
    <w:p>
      <w:pPr>
        <w:pStyle w:val="Normal"/>
        <w:numPr>
          <w:ilvl w:val="1"/>
          <w:numId w:val="1"/>
        </w:numPr>
        <w:suppressAutoHyphens w:val="false"/>
        <w:ind w:left="0" w:right="0" w:hanging="0"/>
        <w:jc w:val="both"/>
        <w:rPr>
          <w:rFonts w:ascii="Calibri" w:hAnsi="Calibri"/>
        </w:rPr>
      </w:pPr>
      <w:r>
        <w:rPr>
          <w:rFonts w:ascii="Calibri" w:hAnsi="Calibri"/>
          <w:b w:val="false"/>
          <w:bCs w:val="false"/>
        </w:rPr>
        <w:t>O fiscal técnico do contrato informará ao gestor do contato, em tempo hábil, a situação que demandar decisão ou adoção de medidas que ultrapassem sua competência, para que adote as medidas necessárias e saneadoras, se for o caso. (Decreto nº 11.246, de 2022, art. 22, IV).</w:t>
      </w:r>
    </w:p>
    <w:p>
      <w:pPr>
        <w:pStyle w:val="Normal"/>
        <w:numPr>
          <w:ilvl w:val="0"/>
          <w:numId w:val="0"/>
        </w:numPr>
        <w:suppressAutoHyphens w:val="false"/>
        <w:ind w:left="794" w:right="0" w:hanging="0"/>
        <w:jc w:val="both"/>
        <w:rPr>
          <w:rFonts w:ascii="Calibri" w:hAnsi="Calibri"/>
          <w:b w:val="false"/>
          <w:b w:val="false"/>
          <w:bCs w:val="false"/>
        </w:rPr>
      </w:pPr>
      <w:r>
        <w:rPr>
          <w:rFonts w:ascii="Calibri" w:hAnsi="Calibri"/>
          <w:b w:val="false"/>
          <w:bCs w:val="false"/>
        </w:rPr>
      </w:r>
    </w:p>
    <w:p>
      <w:pPr>
        <w:pStyle w:val="Normal"/>
        <w:numPr>
          <w:ilvl w:val="1"/>
          <w:numId w:val="1"/>
        </w:numPr>
        <w:suppressAutoHyphens w:val="false"/>
        <w:ind w:left="0" w:right="0" w:hanging="0"/>
        <w:jc w:val="both"/>
        <w:rPr>
          <w:rFonts w:ascii="Calibri" w:hAnsi="Calibri"/>
        </w:rPr>
      </w:pPr>
      <w:r>
        <w:rPr>
          <w:rFonts w:ascii="Calibri" w:hAnsi="Calibri"/>
          <w:b w:val="false"/>
          <w:bCs w:val="false"/>
        </w:rPr>
        <w:t>No caso de ocorrências que possam inviabilizar a execução do contrato nas datas aprazadas, o fiscal técnico do contrato comunicará o fato imediatamente ao gestor do contrato. (Decreto nº 11.246, de 2022, art. 22, V).</w:t>
      </w:r>
    </w:p>
    <w:p>
      <w:pPr>
        <w:pStyle w:val="Normal"/>
        <w:suppressAutoHyphens w:val="false"/>
        <w:ind w:left="0" w:right="0" w:hanging="0"/>
        <w:jc w:val="both"/>
        <w:rPr>
          <w:rFonts w:ascii="Calibri" w:hAnsi="Calibri"/>
          <w:b w:val="false"/>
          <w:b w:val="false"/>
          <w:bCs w:val="false"/>
        </w:rPr>
      </w:pPr>
      <w:r>
        <w:rPr>
          <w:rFonts w:ascii="Calibri" w:hAnsi="Calibri"/>
          <w:b w:val="false"/>
          <w:bCs w:val="false"/>
        </w:rPr>
      </w:r>
    </w:p>
    <w:p>
      <w:pPr>
        <w:pStyle w:val="Normal"/>
        <w:numPr>
          <w:ilvl w:val="1"/>
          <w:numId w:val="1"/>
        </w:numPr>
        <w:suppressAutoHyphens w:val="false"/>
        <w:ind w:left="0" w:right="0" w:hanging="0"/>
        <w:jc w:val="both"/>
        <w:rPr>
          <w:rFonts w:ascii="Calibri" w:hAnsi="Calibri"/>
        </w:rPr>
      </w:pPr>
      <w:r>
        <w:rPr>
          <w:rFonts w:ascii="Calibri" w:hAnsi="Calibri"/>
          <w:b w:val="false"/>
          <w:bCs w:val="false"/>
        </w:rPr>
        <w:t>O fiscal técnico do contrato acompanhará a execução do contrato, para que sejam cumpridas todas as condições estabelecidas no contrato, de modo a assegurar os melhores resultados para a Administração. (Decreto nº 11.246, de 2022, art. 22, VI);</w:t>
      </w:r>
    </w:p>
    <w:p>
      <w:pPr>
        <w:pStyle w:val="Normal"/>
        <w:suppressAutoHyphens w:val="false"/>
        <w:ind w:left="0" w:right="0" w:hanging="0"/>
        <w:jc w:val="both"/>
        <w:rPr>
          <w:rFonts w:ascii="Calibri" w:hAnsi="Calibri"/>
          <w:b w:val="false"/>
          <w:b w:val="false"/>
          <w:bCs w:val="false"/>
        </w:rPr>
      </w:pPr>
      <w:r>
        <w:rPr>
          <w:rFonts w:ascii="Calibri" w:hAnsi="Calibri"/>
          <w:b w:val="false"/>
          <w:bCs w:val="false"/>
        </w:rPr>
      </w:r>
    </w:p>
    <w:p>
      <w:pPr>
        <w:pStyle w:val="Normal"/>
        <w:numPr>
          <w:ilvl w:val="1"/>
          <w:numId w:val="1"/>
        </w:numPr>
        <w:suppressAutoHyphens w:val="false"/>
        <w:ind w:left="0" w:right="0" w:hanging="0"/>
        <w:jc w:val="both"/>
        <w:rPr>
          <w:rFonts w:ascii="Calibri" w:hAnsi="Calibri"/>
        </w:rPr>
      </w:pPr>
      <w:r>
        <w:rPr>
          <w:rFonts w:ascii="Calibri" w:hAnsi="Calibri"/>
        </w:rPr>
        <w:t xml:space="preserve"> </w:t>
      </w:r>
      <w:r>
        <w:rPr>
          <w:rFonts w:eastAsia="NSimSun" w:cs="Lucida Sans" w:ascii="Calibri" w:hAnsi="Calibri"/>
          <w:b w:val="false"/>
          <w:bCs w:val="false"/>
          <w:color w:val="auto"/>
          <w:kern w:val="2"/>
          <w:sz w:val="24"/>
          <w:szCs w:val="24"/>
          <w:lang w:val="pt-BR" w:eastAsia="zh-CN" w:bidi="hi-IN"/>
        </w:rPr>
        <w:t>O fiscal técnico do contrato comunicará ao gestor do contrato, em tempo hábil, o término do contrato sob sua responsabilidade, com vistas à renovação tempestiva ou à prorrogação contratual (Decreto nº 11.246, de 2022, art. 22, VII).</w:t>
      </w:r>
    </w:p>
    <w:p>
      <w:pPr>
        <w:pStyle w:val="Normal"/>
        <w:numPr>
          <w:ilvl w:val="0"/>
          <w:numId w:val="0"/>
        </w:numPr>
        <w:suppressAutoHyphens w:val="false"/>
        <w:ind w:left="794" w:right="0" w:hanging="0"/>
        <w:jc w:val="both"/>
        <w:rPr>
          <w:rFonts w:ascii="Calibri" w:hAnsi="Calibri"/>
          <w:b w:val="false"/>
          <w:b w:val="false"/>
          <w:bCs w:val="false"/>
        </w:rPr>
      </w:pPr>
      <w:r>
        <w:rPr>
          <w:rFonts w:ascii="Calibri" w:hAnsi="Calibri"/>
          <w:b w:val="false"/>
          <w:bCs w:val="false"/>
        </w:rPr>
      </w:r>
    </w:p>
    <w:p>
      <w:pPr>
        <w:pStyle w:val="Normal"/>
        <w:numPr>
          <w:ilvl w:val="1"/>
          <w:numId w:val="1"/>
        </w:numPr>
        <w:suppressAutoHyphens w:val="false"/>
        <w:ind w:left="0" w:right="0" w:hanging="0"/>
        <w:jc w:val="both"/>
        <w:rPr>
          <w:rFonts w:ascii="Calibri" w:hAnsi="Calibri"/>
        </w:rPr>
      </w:pPr>
      <w:r>
        <w:rPr>
          <w:rFonts w:ascii="Calibri" w:hAnsi="Calibri"/>
          <w:b w:val="false"/>
          <w:bCs w:val="false"/>
        </w:rPr>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(Art. 23, I e II, do Decreto nº 11.246, de 2022).</w:t>
      </w:r>
    </w:p>
    <w:p>
      <w:pPr>
        <w:pStyle w:val="Normal"/>
        <w:numPr>
          <w:ilvl w:val="0"/>
          <w:numId w:val="0"/>
        </w:numPr>
        <w:suppressAutoHyphens w:val="false"/>
        <w:ind w:left="1587" w:right="0" w:hanging="0"/>
        <w:jc w:val="both"/>
        <w:rPr>
          <w:rFonts w:ascii="Calibri" w:hAnsi="Calibri"/>
        </w:rPr>
      </w:pPr>
      <w:r>
        <w:rPr>
          <w:rFonts w:ascii="Calibri" w:hAnsi="Calibri"/>
        </w:rPr>
      </w:r>
    </w:p>
    <w:p>
      <w:pPr>
        <w:pStyle w:val="Normal"/>
        <w:widowControl/>
        <w:numPr>
          <w:ilvl w:val="2"/>
          <w:numId w:val="1"/>
        </w:numPr>
        <w:suppressAutoHyphens w:val="false"/>
        <w:bidi w:val="0"/>
        <w:spacing w:before="0" w:after="0"/>
        <w:ind w:left="510" w:right="0" w:hanging="0"/>
        <w:jc w:val="both"/>
        <w:rPr>
          <w:rFonts w:ascii="Calibri" w:hAnsi="Calibri"/>
        </w:rPr>
      </w:pPr>
      <w:r>
        <w:rPr>
          <w:rFonts w:eastAsia="NSimSun" w:cs="Calibri" w:ascii="Calibri" w:hAnsi="Calibri"/>
          <w:color w:val="auto"/>
          <w:kern w:val="2"/>
          <w:sz w:val="24"/>
          <w:szCs w:val="24"/>
          <w:lang w:val="pt-BR" w:eastAsia="zh-CN" w:bidi="hi-IN"/>
        </w:rPr>
        <w:t>Caso ocorram descumprimento das obrigações contratuais, o fiscal administrativo do contrato atuará tempestivamente na solução do problema, reportando ao gestor do contrato para que tome as providências cabíveis, quando ultrapassa</w:t>
      </w:r>
      <w:r>
        <w:rPr>
          <w:rFonts w:ascii="Calibri" w:hAnsi="Calibri"/>
        </w:rPr>
        <w:t>r a sua competência; (Decreto nº 11.246, de 2022, art. 23, IV).</w:t>
      </w:r>
    </w:p>
    <w:p>
      <w:pPr>
        <w:pStyle w:val="Normal"/>
        <w:widowControl/>
        <w:suppressAutoHyphens w:val="false"/>
        <w:bidi w:val="0"/>
        <w:spacing w:before="0" w:after="0"/>
        <w:ind w:left="794" w:right="0" w:hanging="0"/>
        <w:jc w:val="both"/>
        <w:rPr>
          <w:rFonts w:ascii="Calibri" w:hAnsi="Calibri" w:cs="Calibri"/>
          <w:color w:val="C9211E"/>
        </w:rPr>
      </w:pPr>
      <w:r>
        <w:rPr>
          <w:rFonts w:cs="Calibri" w:ascii="Calibri" w:hAnsi="Calibri"/>
          <w:color w:val="C9211E"/>
        </w:rPr>
      </w:r>
    </w:p>
    <w:p>
      <w:pPr>
        <w:pStyle w:val="Normal"/>
        <w:widowControl/>
        <w:numPr>
          <w:ilvl w:val="0"/>
          <w:numId w:val="0"/>
        </w:numPr>
        <w:suppressAutoHyphens w:val="false"/>
        <w:bidi w:val="0"/>
        <w:spacing w:before="0" w:after="0"/>
        <w:ind w:left="794" w:right="0" w:hanging="0"/>
        <w:jc w:val="both"/>
        <w:rPr>
          <w:rFonts w:ascii="Calibri" w:hAnsi="Calibri"/>
        </w:rPr>
      </w:pPr>
      <w:r>
        <w:rPr>
          <w:rFonts w:cs="Calibri" w:ascii="Calibri" w:hAnsi="Calibri"/>
          <w:b/>
          <w:bCs/>
          <w:color w:val="00000A"/>
          <w:u w:val="single"/>
        </w:rPr>
        <w:t>Da gestão do contrato:</w:t>
      </w:r>
    </w:p>
    <w:p>
      <w:pPr>
        <w:pStyle w:val="Normal"/>
        <w:widowControl/>
        <w:numPr>
          <w:ilvl w:val="0"/>
          <w:numId w:val="0"/>
        </w:numPr>
        <w:suppressAutoHyphens w:val="false"/>
        <w:bidi w:val="0"/>
        <w:spacing w:before="0" w:after="0"/>
        <w:ind w:left="794" w:right="0" w:hanging="0"/>
        <w:jc w:val="both"/>
        <w:rPr>
          <w:rFonts w:ascii="Calibri" w:hAnsi="Calibri" w:cs="Calibri"/>
          <w:b/>
          <w:b/>
          <w:bCs/>
          <w:color w:val="00000A"/>
        </w:rPr>
      </w:pPr>
      <w:r>
        <w:rPr>
          <w:rFonts w:cs="Calibri" w:ascii="Calibri" w:hAnsi="Calibri"/>
          <w:b/>
          <w:bCs/>
          <w:color w:val="00000A"/>
        </w:rPr>
      </w:r>
    </w:p>
    <w:p>
      <w:pPr>
        <w:pStyle w:val="Normal"/>
        <w:widowControl/>
        <w:numPr>
          <w:ilvl w:val="1"/>
          <w:numId w:val="1"/>
        </w:numPr>
        <w:suppressAutoHyphens w:val="false"/>
        <w:bidi w:val="0"/>
        <w:spacing w:before="0" w:after="0"/>
        <w:ind w:left="0" w:right="0" w:hanging="0"/>
        <w:jc w:val="both"/>
        <w:rPr>
          <w:rFonts w:ascii="Calibri" w:hAnsi="Calibri"/>
        </w:rPr>
      </w:pPr>
      <w:r>
        <w:rPr>
          <w:rFonts w:ascii="Calibri" w:hAnsi="Calibri"/>
        </w:rPr>
        <w:t>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11.246, de 2022, art. 21, IV).</w:t>
      </w:r>
    </w:p>
    <w:p>
      <w:pPr>
        <w:pStyle w:val="Normal"/>
        <w:numPr>
          <w:ilvl w:val="0"/>
          <w:numId w:val="0"/>
        </w:numPr>
        <w:suppressAutoHyphens w:val="false"/>
        <w:ind w:left="794" w:right="0" w:hanging="0"/>
        <w:jc w:val="both"/>
        <w:rPr>
          <w:rFonts w:ascii="Calibri" w:hAnsi="Calibri"/>
        </w:rPr>
      </w:pPr>
      <w:r>
        <w:rPr>
          <w:rFonts w:ascii="Calibri" w:hAnsi="Calibri"/>
        </w:rPr>
      </w:r>
    </w:p>
    <w:p>
      <w:pPr>
        <w:pStyle w:val="Normal"/>
        <w:widowControl/>
        <w:numPr>
          <w:ilvl w:val="2"/>
          <w:numId w:val="1"/>
        </w:numPr>
        <w:suppressAutoHyphens w:val="false"/>
        <w:bidi w:val="0"/>
        <w:spacing w:before="0" w:after="0"/>
        <w:ind w:left="510" w:right="0" w:hanging="0"/>
        <w:jc w:val="both"/>
        <w:rPr>
          <w:rFonts w:ascii="Calibri" w:hAnsi="Calibri"/>
        </w:rPr>
      </w:pPr>
      <w:r>
        <w:rPr>
          <w:rFonts w:ascii="Calibri" w:hAnsi="Calibri"/>
        </w:rPr>
        <w:t>O gestor do contrato acompanhará a manutenção das condições de habilitação da contratada, para fins de empenho de despesa e pagamento, e anotará os problemas que obstem o fluxo normal da liquidação e do pagamento da despesa no relatório de riscos eventuais. (Decreto nº 11.246, de 2022, art. 21, III).</w:t>
      </w:r>
    </w:p>
    <w:p>
      <w:pPr>
        <w:pStyle w:val="Normal"/>
        <w:numPr>
          <w:ilvl w:val="0"/>
          <w:numId w:val="0"/>
        </w:numPr>
        <w:suppressAutoHyphens w:val="false"/>
        <w:ind w:left="1587" w:right="0" w:hanging="0"/>
        <w:jc w:val="both"/>
        <w:rPr>
          <w:rFonts w:ascii="Calibri" w:hAnsi="Calibri"/>
        </w:rPr>
      </w:pPr>
      <w:r>
        <w:rPr>
          <w:rFonts w:ascii="Calibri" w:hAnsi="Calibri"/>
        </w:rPr>
      </w:r>
    </w:p>
    <w:p>
      <w:pPr>
        <w:pStyle w:val="Normal"/>
        <w:numPr>
          <w:ilvl w:val="2"/>
          <w:numId w:val="1"/>
        </w:numPr>
        <w:suppressAutoHyphens w:val="false"/>
        <w:ind w:left="510" w:right="0" w:hanging="0"/>
        <w:jc w:val="both"/>
        <w:rPr>
          <w:rFonts w:ascii="Calibri" w:hAnsi="Calibri"/>
        </w:rPr>
      </w:pPr>
      <w:r>
        <w:rPr>
          <w:rFonts w:ascii="Calibri" w:hAnsi="Calibri"/>
        </w:rPr>
        <w:t>O gestor do contrato acompanhará os registros realizados pelos fiscais do contrato, de todas as ocorrências relacionadas à execução do contrato e as medidas adotadas, informando, se for o caso, à autoridade superior àquelas que ultrapassarem a sua competência. (Decreto nº 11.246, de 2022, art. 21, II).</w:t>
      </w:r>
    </w:p>
    <w:p>
      <w:pPr>
        <w:pStyle w:val="Normal"/>
        <w:numPr>
          <w:ilvl w:val="0"/>
          <w:numId w:val="0"/>
        </w:numPr>
        <w:suppressAutoHyphens w:val="false"/>
        <w:ind w:left="2097" w:right="0" w:hanging="0"/>
        <w:jc w:val="both"/>
        <w:rPr>
          <w:rFonts w:ascii="Calibri" w:hAnsi="Calibri"/>
        </w:rPr>
      </w:pPr>
      <w:r>
        <w:rPr>
          <w:rFonts w:ascii="Calibri" w:hAnsi="Calibri"/>
        </w:rPr>
      </w:r>
    </w:p>
    <w:p>
      <w:pPr>
        <w:pStyle w:val="Normal"/>
        <w:numPr>
          <w:ilvl w:val="2"/>
          <w:numId w:val="1"/>
        </w:numPr>
        <w:suppressAutoHyphens w:val="false"/>
        <w:ind w:left="510" w:right="0" w:hanging="0"/>
        <w:jc w:val="both"/>
        <w:rPr>
          <w:rFonts w:ascii="Calibri" w:hAnsi="Calibri"/>
        </w:rPr>
      </w:pPr>
      <w:r>
        <w:rPr>
          <w:rFonts w:ascii="Calibri" w:hAnsi="Calibri"/>
        </w:rPr>
        <w:t>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11.246, de 2022, art. 21, VIII).</w:t>
      </w:r>
    </w:p>
    <w:p>
      <w:pPr>
        <w:pStyle w:val="Normal"/>
        <w:numPr>
          <w:ilvl w:val="0"/>
          <w:numId w:val="0"/>
        </w:numPr>
        <w:suppressAutoHyphens w:val="false"/>
        <w:ind w:left="2097" w:right="0" w:hanging="0"/>
        <w:jc w:val="both"/>
        <w:rPr>
          <w:rFonts w:ascii="Calibri" w:hAnsi="Calibri"/>
        </w:rPr>
      </w:pPr>
      <w:r>
        <w:rPr>
          <w:rFonts w:ascii="Calibri" w:hAnsi="Calibri"/>
        </w:rPr>
      </w:r>
    </w:p>
    <w:p>
      <w:pPr>
        <w:pStyle w:val="Normal"/>
        <w:numPr>
          <w:ilvl w:val="2"/>
          <w:numId w:val="1"/>
        </w:numPr>
        <w:suppressAutoHyphens w:val="false"/>
        <w:ind w:left="510" w:right="0" w:hanging="0"/>
        <w:jc w:val="both"/>
        <w:rPr>
          <w:rFonts w:ascii="Calibri" w:hAnsi="Calibri"/>
        </w:rPr>
      </w:pPr>
      <w:r>
        <w:rPr>
          <w:rFonts w:ascii="Calibri" w:hAnsi="Calibri"/>
        </w:rPr>
        <w:t>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(Decreto nº 11.246, de 2022, art. 21, X).</w:t>
      </w:r>
    </w:p>
    <w:p>
      <w:pPr>
        <w:pStyle w:val="Normal"/>
        <w:widowControl/>
        <w:numPr>
          <w:ilvl w:val="0"/>
          <w:numId w:val="0"/>
        </w:numPr>
        <w:suppressAutoHyphens w:val="false"/>
        <w:bidi w:val="0"/>
        <w:spacing w:before="0" w:after="0"/>
        <w:ind w:left="0" w:right="0" w:hanging="0"/>
        <w:jc w:val="both"/>
        <w:rPr>
          <w:rFonts w:ascii="Calibri" w:hAnsi="Calibri" w:cs="Calibri"/>
          <w:color w:val="C9211E"/>
        </w:rPr>
      </w:pPr>
      <w:r>
        <w:rPr>
          <w:rFonts w:cs="Calibri" w:ascii="Calibri" w:hAnsi="Calibri"/>
          <w:color w:val="C9211E"/>
        </w:rPr>
      </w:r>
    </w:p>
    <w:p>
      <w:pPr>
        <w:pStyle w:val="Normal"/>
        <w:widowControl/>
        <w:numPr>
          <w:ilvl w:val="1"/>
          <w:numId w:val="1"/>
        </w:numPr>
        <w:suppressAutoHyphens w:val="false"/>
        <w:bidi w:val="0"/>
        <w:spacing w:before="0" w:after="0"/>
        <w:ind w:left="0" w:right="0" w:hanging="0"/>
        <w:jc w:val="both"/>
        <w:rPr>
          <w:rFonts w:ascii="Calibri" w:hAnsi="Calibri"/>
        </w:rPr>
      </w:pPr>
      <w:r>
        <w:rPr>
          <w:rFonts w:cs="Calibri" w:ascii="Calibri" w:hAnsi="Calibri"/>
          <w:color w:val="00000A"/>
        </w:rPr>
        <w:t>O gestor do contrato deverá elaborará relatório final com informações sobre a consecução dos objetivos que tenham justificado a contratação e eventuais condutas a serem adotadas para o aprimoramento das atividades da Administração. (Decreto nº 11.246, de 2022, art. 21, VI).</w:t>
      </w:r>
    </w:p>
    <w:p>
      <w:pPr>
        <w:pStyle w:val="Normal"/>
        <w:widowControl/>
        <w:suppressAutoHyphens w:val="false"/>
        <w:bidi w:val="0"/>
        <w:spacing w:before="0" w:after="0"/>
        <w:ind w:left="794" w:right="0" w:hanging="0"/>
        <w:jc w:val="both"/>
        <w:rPr>
          <w:rFonts w:ascii="Calibri" w:hAnsi="Calibri" w:cs="Calibri"/>
          <w:color w:val="C9211E"/>
        </w:rPr>
      </w:pPr>
      <w:r>
        <w:rPr>
          <w:rFonts w:cs="Calibri" w:ascii="Calibri" w:hAnsi="Calibri"/>
          <w:color w:val="C9211E"/>
        </w:rPr>
      </w:r>
    </w:p>
    <w:p>
      <w:pPr>
        <w:pStyle w:val="Normal"/>
        <w:widowControl/>
        <w:numPr>
          <w:ilvl w:val="1"/>
          <w:numId w:val="1"/>
        </w:numPr>
        <w:suppressAutoHyphens w:val="false"/>
        <w:bidi w:val="0"/>
        <w:spacing w:before="0" w:after="0"/>
        <w:ind w:left="0" w:right="0" w:hanging="0"/>
        <w:jc w:val="both"/>
        <w:rPr>
          <w:rFonts w:ascii="Calibri" w:hAnsi="Calibri"/>
        </w:rPr>
      </w:pPr>
      <w:r>
        <w:rPr>
          <w:rFonts w:cs="Calibri" w:ascii="Calibri" w:hAnsi="Calibri"/>
          <w:color w:val="00000A"/>
        </w:rPr>
        <w:t>O contratado será obrigado a reparar, corrigir, remover, reconstruir ou substituir, a suas expensas, no total ou em parte, o objeto do contrato em que se verificarem vícios, defeitos ou incorreções resultantes de sua execução ou de materiais nela empregados (Lei nº 14.133/2021, art. 119).</w:t>
      </w:r>
    </w:p>
    <w:p>
      <w:pPr>
        <w:pStyle w:val="Normal"/>
        <w:widowControl/>
        <w:numPr>
          <w:ilvl w:val="0"/>
          <w:numId w:val="0"/>
        </w:numPr>
        <w:suppressAutoHyphens w:val="false"/>
        <w:bidi w:val="0"/>
        <w:spacing w:before="0" w:after="0"/>
        <w:ind w:left="0" w:right="0" w:hanging="0"/>
        <w:jc w:val="both"/>
        <w:rPr>
          <w:rFonts w:ascii="Calibri" w:hAnsi="Calibri" w:cs="Calibri"/>
          <w:color w:val="00000A"/>
        </w:rPr>
      </w:pPr>
      <w:r>
        <w:rPr>
          <w:rFonts w:cs="Calibri" w:ascii="Calibri" w:hAnsi="Calibri"/>
          <w:color w:val="00000A"/>
        </w:rPr>
      </w:r>
    </w:p>
    <w:p>
      <w:pPr>
        <w:pStyle w:val="Normal"/>
        <w:widowControl/>
        <w:numPr>
          <w:ilvl w:val="1"/>
          <w:numId w:val="1"/>
        </w:numPr>
        <w:suppressAutoHyphens w:val="false"/>
        <w:bidi w:val="0"/>
        <w:spacing w:before="0" w:after="0"/>
        <w:ind w:left="0" w:right="0" w:hanging="0"/>
        <w:jc w:val="both"/>
        <w:rPr>
          <w:rFonts w:ascii="Calibri" w:hAnsi="Calibri"/>
        </w:rPr>
      </w:pPr>
      <w:r>
        <w:rPr>
          <w:rFonts w:ascii="Calibri" w:hAnsi="Calibri"/>
        </w:rPr>
        <w:t>O gestor do contrato deverá enviar a documentação pertinente ao setor financeiro para a formalização dos procedimentos de liquidação e pagamento, no valor dimensionado pela fiscalização e gestão nos termos do contrato.</w:t>
      </w:r>
    </w:p>
    <w:p>
      <w:pPr>
        <w:pStyle w:val="Normal"/>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cs="Calibri"/>
          <w:b/>
          <w:b/>
          <w:bCs/>
          <w:color w:val="FFFFFF"/>
        </w:rPr>
      </w:pPr>
      <w:r>
        <w:rPr>
          <w:rFonts w:cs="Calibri" w:ascii="Calibri" w:hAnsi="Calibri"/>
          <w:b/>
          <w:bCs/>
          <w:color w:val="FFFFFF"/>
        </w:rPr>
        <w:t xml:space="preserve">DOS CRITÉRIOS DE AFERIÇÃO E MEDIÇÃO PARA FATURAMENTO </w:t>
      </w:r>
    </w:p>
    <w:p>
      <w:pPr>
        <w:pStyle w:val="Normal"/>
        <w:ind w:left="794" w:hanging="0"/>
        <w:jc w:val="both"/>
        <w:rPr>
          <w:rFonts w:ascii="Calibri" w:hAnsi="Calibri" w:cs="Calibri"/>
          <w:color w:val="00000A"/>
        </w:rPr>
      </w:pPr>
      <w:r>
        <w:rPr>
          <w:rFonts w:cs="Calibri" w:ascii="Calibri" w:hAnsi="Calibri"/>
          <w:color w:val="00000A"/>
        </w:rPr>
      </w:r>
    </w:p>
    <w:p>
      <w:pPr>
        <w:pStyle w:val="Normal"/>
        <w:widowControl/>
        <w:numPr>
          <w:ilvl w:val="1"/>
          <w:numId w:val="1"/>
        </w:numPr>
        <w:suppressAutoHyphens w:val="false"/>
        <w:bidi w:val="0"/>
        <w:spacing w:before="0" w:after="0"/>
        <w:ind w:left="0" w:right="0" w:hanging="0"/>
        <w:jc w:val="both"/>
        <w:rPr>
          <w:b w:val="false"/>
          <w:b w:val="false"/>
          <w:bCs w:val="false"/>
        </w:rPr>
      </w:pPr>
      <w:r>
        <w:rPr>
          <w:rFonts w:cs="Calibri" w:ascii="Calibri" w:hAnsi="Calibri"/>
          <w:b w:val="false"/>
          <w:bCs w:val="false"/>
          <w:color w:val="00000A"/>
        </w:rPr>
        <w:t xml:space="preserve">A avaliação da execução do objeto utilizará o Instrumento de Medição de Resultado (IMR), conforme previsto no </w:t>
      </w:r>
      <w:commentRangeStart w:id="17"/>
      <w:r>
        <w:rPr>
          <w:rFonts w:cs="Calibri" w:ascii="Calibri" w:hAnsi="Calibri"/>
          <w:b w:val="false"/>
          <w:bCs w:val="false"/>
          <w:color w:val="00000A"/>
        </w:rPr>
        <w:t>Anexo XXX</w:t>
      </w:r>
      <w:r>
        <w:rPr>
          <w:rFonts w:cs="Calibri" w:ascii="Calibri" w:hAnsi="Calibri"/>
          <w:b w:val="false"/>
          <w:bCs w:val="false"/>
          <w:color w:val="00000A"/>
        </w:rPr>
      </w:r>
      <w:commentRangeEnd w:id="17"/>
      <w:r>
        <w:commentReference w:id="17"/>
      </w:r>
      <w:r>
        <w:rPr>
          <w:rFonts w:cs="Calibri" w:ascii="Calibri" w:hAnsi="Calibri"/>
          <w:b w:val="false"/>
          <w:bCs w:val="false"/>
          <w:color w:val="00000A"/>
        </w:rPr>
        <w:t xml:space="preserve"> para aferição da qualidade da prestação dos serviços.</w:t>
      </w:r>
    </w:p>
    <w:p>
      <w:pPr>
        <w:pStyle w:val="Normal"/>
        <w:widowControl/>
        <w:suppressAutoHyphens w:val="false"/>
        <w:bidi w:val="0"/>
        <w:spacing w:before="0" w:after="0"/>
        <w:ind w:left="0" w:right="0" w:hanging="0"/>
        <w:jc w:val="both"/>
        <w:rPr>
          <w:b/>
          <w:b/>
          <w:bCs/>
        </w:rPr>
      </w:pPr>
      <w:r>
        <w:rPr>
          <w:b/>
          <w:bCs/>
        </w:rPr>
      </w:r>
    </w:p>
    <w:p>
      <w:pPr>
        <w:pStyle w:val="Normal"/>
        <w:widowControl/>
        <w:numPr>
          <w:ilvl w:val="2"/>
          <w:numId w:val="1"/>
        </w:numPr>
        <w:suppressAutoHyphens w:val="false"/>
        <w:bidi w:val="0"/>
        <w:spacing w:before="0" w:after="0"/>
        <w:ind w:left="794" w:right="0" w:hanging="0"/>
        <w:jc w:val="both"/>
        <w:rPr>
          <w:b w:val="false"/>
          <w:b w:val="false"/>
          <w:bCs w:val="false"/>
        </w:rPr>
      </w:pPr>
      <w:r>
        <w:rPr>
          <w:rFonts w:cs="Calibri" w:ascii="Calibri" w:hAnsi="Calibri"/>
          <w:b w:val="false"/>
          <w:bCs w:val="false"/>
          <w:color w:val="00000A"/>
        </w:rPr>
        <w:t>Será indicada a retenção ou glosa no pagamento, proporcional à irregularidade verificada, sem prejuízo das sanções cabíveis, caso se constate que a Contratada:</w:t>
      </w:r>
    </w:p>
    <w:p>
      <w:pPr>
        <w:pStyle w:val="Normal"/>
        <w:widowControl/>
        <w:numPr>
          <w:ilvl w:val="0"/>
          <w:numId w:val="0"/>
        </w:numPr>
        <w:suppressAutoHyphens w:val="false"/>
        <w:bidi w:val="0"/>
        <w:spacing w:before="0" w:after="0"/>
        <w:ind w:left="2381" w:right="0" w:hanging="0"/>
        <w:jc w:val="both"/>
        <w:rPr>
          <w:rFonts w:ascii="Calibri" w:hAnsi="Calibri" w:cs="Calibri"/>
          <w:color w:val="00000A"/>
        </w:rPr>
      </w:pPr>
      <w:r>
        <w:rPr>
          <w:rFonts w:cs="Calibri" w:ascii="Calibri" w:hAnsi="Calibri"/>
          <w:color w:val="00000A"/>
        </w:rPr>
      </w:r>
    </w:p>
    <w:p>
      <w:pPr>
        <w:pStyle w:val="Normal"/>
        <w:widowControl/>
        <w:numPr>
          <w:ilvl w:val="3"/>
          <w:numId w:val="1"/>
        </w:numPr>
        <w:suppressAutoHyphens w:val="false"/>
        <w:bidi w:val="0"/>
        <w:spacing w:before="0" w:after="0"/>
        <w:ind w:left="1361" w:right="0" w:hanging="0"/>
        <w:jc w:val="both"/>
        <w:rPr>
          <w:b w:val="false"/>
          <w:b w:val="false"/>
          <w:bCs w:val="false"/>
        </w:rPr>
      </w:pPr>
      <w:r>
        <w:rPr>
          <w:rFonts w:cs="Calibri" w:ascii="Calibri" w:hAnsi="Calibri"/>
          <w:b w:val="false"/>
          <w:bCs w:val="false"/>
          <w:color w:val="00000A"/>
        </w:rPr>
        <w:t>não produzir os resultados acordados,</w:t>
      </w:r>
    </w:p>
    <w:p>
      <w:pPr>
        <w:pStyle w:val="Normal"/>
        <w:widowControl/>
        <w:numPr>
          <w:ilvl w:val="0"/>
          <w:numId w:val="0"/>
        </w:numPr>
        <w:suppressAutoHyphens w:val="false"/>
        <w:bidi w:val="0"/>
        <w:spacing w:before="0" w:after="0"/>
        <w:ind w:left="3742" w:right="0" w:hanging="0"/>
        <w:jc w:val="both"/>
        <w:rPr>
          <w:rFonts w:ascii="Calibri" w:hAnsi="Calibri" w:cs="Calibri"/>
          <w:color w:val="00000A"/>
        </w:rPr>
      </w:pPr>
      <w:r>
        <w:rPr>
          <w:rFonts w:cs="Calibri" w:ascii="Calibri" w:hAnsi="Calibri"/>
          <w:color w:val="00000A"/>
        </w:rPr>
      </w:r>
    </w:p>
    <w:p>
      <w:pPr>
        <w:pStyle w:val="Normal"/>
        <w:widowControl/>
        <w:numPr>
          <w:ilvl w:val="3"/>
          <w:numId w:val="1"/>
        </w:numPr>
        <w:suppressAutoHyphens w:val="false"/>
        <w:bidi w:val="0"/>
        <w:spacing w:before="0" w:after="0"/>
        <w:ind w:left="1361" w:right="0" w:hanging="0"/>
        <w:jc w:val="both"/>
        <w:rPr>
          <w:b w:val="false"/>
          <w:b w:val="false"/>
          <w:bCs w:val="false"/>
        </w:rPr>
      </w:pPr>
      <w:r>
        <w:rPr>
          <w:rFonts w:cs="Calibri" w:ascii="Calibri" w:hAnsi="Calibri"/>
          <w:b w:val="false"/>
          <w:bCs w:val="false"/>
          <w:color w:val="00000A"/>
        </w:rPr>
        <w:t>deixar de executar, ou não executar com a qualidade mínima exigida as atividades contratadas; ou</w:t>
      </w:r>
    </w:p>
    <w:p>
      <w:pPr>
        <w:pStyle w:val="Normal"/>
        <w:widowControl/>
        <w:numPr>
          <w:ilvl w:val="0"/>
          <w:numId w:val="0"/>
        </w:numPr>
        <w:suppressAutoHyphens w:val="false"/>
        <w:bidi w:val="0"/>
        <w:spacing w:before="0" w:after="0"/>
        <w:ind w:left="3742" w:right="0" w:hanging="0"/>
        <w:jc w:val="both"/>
        <w:rPr>
          <w:rFonts w:ascii="Calibri" w:hAnsi="Calibri" w:cs="Calibri"/>
          <w:color w:val="00000A"/>
        </w:rPr>
      </w:pPr>
      <w:r>
        <w:rPr>
          <w:rFonts w:cs="Calibri" w:ascii="Calibri" w:hAnsi="Calibri"/>
          <w:color w:val="00000A"/>
        </w:rPr>
      </w:r>
    </w:p>
    <w:p>
      <w:pPr>
        <w:pStyle w:val="Normal"/>
        <w:widowControl/>
        <w:numPr>
          <w:ilvl w:val="3"/>
          <w:numId w:val="1"/>
        </w:numPr>
        <w:suppressAutoHyphens w:val="false"/>
        <w:bidi w:val="0"/>
        <w:spacing w:before="0" w:after="0"/>
        <w:ind w:left="1361" w:right="0" w:hanging="0"/>
        <w:jc w:val="both"/>
        <w:rPr>
          <w:b w:val="false"/>
          <w:b w:val="false"/>
          <w:bCs w:val="false"/>
        </w:rPr>
      </w:pPr>
      <w:r>
        <w:rPr>
          <w:rFonts w:cs="Calibri" w:ascii="Calibri" w:hAnsi="Calibri"/>
          <w:b w:val="false"/>
          <w:bCs w:val="false"/>
          <w:color w:val="00000A"/>
        </w:rPr>
        <w:t>deixar de utilizar materiais e recursos humanos exigidos para a execução do serviço, ou utilizá-los com qualidade ou quantidade inferior à demandada.</w:t>
      </w:r>
    </w:p>
    <w:p>
      <w:pPr>
        <w:pStyle w:val="Normal"/>
        <w:widowControl/>
        <w:suppressAutoHyphens w:val="false"/>
        <w:bidi w:val="0"/>
        <w:spacing w:before="0" w:after="0"/>
        <w:ind w:left="0" w:right="0" w:hanging="0"/>
        <w:jc w:val="both"/>
        <w:rPr>
          <w:rFonts w:ascii="Calibri" w:hAnsi="Calibri"/>
          <w:b w:val="false"/>
          <w:b w:val="false"/>
          <w:bCs w:val="false"/>
        </w:rPr>
      </w:pPr>
      <w:r>
        <w:rPr>
          <w:rFonts w:ascii="Calibri" w:hAnsi="Calibri"/>
          <w:b w:val="false"/>
          <w:bCs w:val="false"/>
        </w:rPr>
      </w:r>
    </w:p>
    <w:p>
      <w:pPr>
        <w:pStyle w:val="Normal"/>
        <w:widowControl/>
        <w:numPr>
          <w:ilvl w:val="1"/>
          <w:numId w:val="1"/>
        </w:numPr>
        <w:suppressAutoHyphens w:val="false"/>
        <w:bidi w:val="0"/>
        <w:spacing w:before="0" w:after="0"/>
        <w:ind w:left="0" w:right="0" w:hanging="0"/>
        <w:jc w:val="both"/>
        <w:rPr>
          <w:rFonts w:ascii="Calibri" w:hAnsi="Calibri"/>
          <w:b w:val="false"/>
          <w:b w:val="false"/>
          <w:bCs w:val="false"/>
        </w:rPr>
      </w:pPr>
      <w:r>
        <w:rPr>
          <w:rFonts w:ascii="Calibri" w:hAnsi="Calibri"/>
          <w:b w:val="false"/>
          <w:bCs w:val="false"/>
        </w:rPr>
        <w:t>A utilização do IMR não impede a aplicação concomitante de outros mecanismos para a avaliação da prestação dos serviços.</w:t>
      </w:r>
    </w:p>
    <w:p>
      <w:pPr>
        <w:pStyle w:val="Normal"/>
        <w:widowControl/>
        <w:suppressAutoHyphens w:val="false"/>
        <w:bidi w:val="0"/>
        <w:spacing w:before="0" w:after="0"/>
        <w:ind w:left="0" w:right="0" w:hanging="0"/>
        <w:jc w:val="both"/>
        <w:rPr>
          <w:b/>
          <w:b/>
          <w:bCs/>
        </w:rPr>
      </w:pPr>
      <w:r>
        <w:rPr>
          <w:b/>
          <w:bCs/>
        </w:rPr>
      </w:r>
    </w:p>
    <w:p>
      <w:pPr>
        <w:pStyle w:val="Normal"/>
        <w:widowControl/>
        <w:numPr>
          <w:ilvl w:val="0"/>
          <w:numId w:val="0"/>
        </w:numPr>
        <w:suppressAutoHyphens w:val="false"/>
        <w:bidi w:val="0"/>
        <w:spacing w:before="0" w:after="0"/>
        <w:ind w:left="794" w:right="0" w:hanging="0"/>
        <w:jc w:val="both"/>
        <w:rPr>
          <w:u w:val="single"/>
        </w:rPr>
      </w:pPr>
      <w:r>
        <w:rPr>
          <w:rFonts w:cs="Calibri" w:ascii="Calibri" w:hAnsi="Calibri"/>
          <w:b/>
          <w:bCs/>
          <w:color w:val="00000A"/>
          <w:u w:val="single"/>
        </w:rPr>
        <w:t>Do recebimento do objeto:</w:t>
      </w:r>
    </w:p>
    <w:p>
      <w:pPr>
        <w:pStyle w:val="Normal"/>
        <w:widowControl/>
        <w:numPr>
          <w:ilvl w:val="0"/>
          <w:numId w:val="0"/>
        </w:numPr>
        <w:suppressAutoHyphens w:val="false"/>
        <w:bidi w:val="0"/>
        <w:spacing w:before="0" w:after="0"/>
        <w:ind w:left="0" w:right="0" w:hanging="0"/>
        <w:jc w:val="both"/>
        <w:rPr>
          <w:rFonts w:ascii="Calibri" w:hAnsi="Calibri"/>
        </w:rPr>
      </w:pPr>
      <w:r>
        <w:rPr>
          <w:rFonts w:ascii="Calibri" w:hAnsi="Calibri"/>
        </w:rPr>
      </w:r>
    </w:p>
    <w:p>
      <w:pPr>
        <w:pStyle w:val="Normal"/>
        <w:widowControl/>
        <w:numPr>
          <w:ilvl w:val="1"/>
          <w:numId w:val="1"/>
        </w:numPr>
        <w:suppressAutoHyphens w:val="false"/>
        <w:bidi w:val="0"/>
        <w:spacing w:before="0" w:after="0"/>
        <w:ind w:left="0" w:right="0" w:hanging="0"/>
        <w:jc w:val="both"/>
        <w:rPr>
          <w:rFonts w:ascii="Calibri" w:hAnsi="Calibri"/>
        </w:rPr>
      </w:pPr>
      <w:r>
        <w:rPr>
          <w:rFonts w:ascii="Calibri" w:hAnsi="Calibri"/>
        </w:rPr>
        <w:t>Os serviços serão recebidos provisoriamente, no momento da execução do serviço, pelos fiscais técnico e administrativo, mediante termos detalhados, quando verificado o cumprimento das exigências de caráter técnico e administrativo. (Art. 140, I, a , da Lei nº 14.133 e Arts. 22, X e 23, X do Decreto nº 11.246, de 2022).</w:t>
      </w:r>
    </w:p>
    <w:p>
      <w:pPr>
        <w:pStyle w:val="Normal"/>
        <w:widowControl/>
        <w:numPr>
          <w:ilvl w:val="0"/>
          <w:numId w:val="0"/>
        </w:numPr>
        <w:suppressAutoHyphens w:val="false"/>
        <w:bidi w:val="0"/>
        <w:spacing w:before="0" w:after="0"/>
        <w:ind w:left="794" w:right="0" w:hanging="0"/>
        <w:jc w:val="both"/>
        <w:rPr>
          <w:rFonts w:ascii="Calibri" w:hAnsi="Calibri"/>
        </w:rPr>
      </w:pPr>
      <w:r>
        <w:rPr>
          <w:rFonts w:ascii="Calibri" w:hAnsi="Calibri"/>
        </w:rPr>
      </w:r>
    </w:p>
    <w:p>
      <w:pPr>
        <w:pStyle w:val="Normal"/>
        <w:widowControl/>
        <w:numPr>
          <w:ilvl w:val="2"/>
          <w:numId w:val="1"/>
        </w:numPr>
        <w:suppressAutoHyphens w:val="false"/>
        <w:bidi w:val="0"/>
        <w:spacing w:before="0" w:after="0"/>
        <w:ind w:left="397" w:right="0" w:hanging="0"/>
        <w:jc w:val="both"/>
        <w:rPr>
          <w:rFonts w:ascii="Calibri" w:hAnsi="Calibri"/>
        </w:rPr>
      </w:pPr>
      <w:r>
        <w:rPr>
          <w:rFonts w:ascii="Calibri" w:hAnsi="Calibri"/>
        </w:rPr>
        <w:t>O prazo da disposição acima será contado do recebimento de comunicação de cobrança oriunda do contratado com a comprovação da prestação dos serviços a que se referem a parcela a ser paga.</w:t>
      </w:r>
    </w:p>
    <w:p>
      <w:pPr>
        <w:pStyle w:val="Normal"/>
        <w:widowControl/>
        <w:numPr>
          <w:ilvl w:val="0"/>
          <w:numId w:val="0"/>
        </w:numPr>
        <w:suppressAutoHyphens w:val="false"/>
        <w:bidi w:val="0"/>
        <w:spacing w:before="0" w:after="0"/>
        <w:ind w:left="1984" w:right="0" w:hanging="0"/>
        <w:jc w:val="both"/>
        <w:rPr>
          <w:rFonts w:ascii="Calibri" w:hAnsi="Calibri"/>
        </w:rPr>
      </w:pPr>
      <w:r>
        <w:rPr>
          <w:rFonts w:ascii="Calibri" w:hAnsi="Calibri"/>
        </w:rPr>
      </w:r>
    </w:p>
    <w:p>
      <w:pPr>
        <w:pStyle w:val="Normal"/>
        <w:widowControl/>
        <w:numPr>
          <w:ilvl w:val="2"/>
          <w:numId w:val="1"/>
        </w:numPr>
        <w:suppressAutoHyphens w:val="false"/>
        <w:bidi w:val="0"/>
        <w:spacing w:before="0" w:after="0"/>
        <w:ind w:left="397" w:right="0" w:hanging="0"/>
        <w:jc w:val="both"/>
        <w:rPr>
          <w:rFonts w:ascii="Calibri" w:hAnsi="Calibri"/>
        </w:rPr>
      </w:pPr>
      <w:r>
        <w:rPr>
          <w:rFonts w:ascii="Calibri" w:hAnsi="Calibri"/>
        </w:rPr>
        <w:t>O fiscal técnico do contrato realizará o recebimento provisório do objeto do contrato mediante termo detalhado que comprove o cumprimento das exigências de caráter técnico. (Art. 22, X, Decreto nº 11.246, de 2022).</w:t>
      </w:r>
    </w:p>
    <w:p>
      <w:pPr>
        <w:pStyle w:val="Normal"/>
        <w:widowControl/>
        <w:numPr>
          <w:ilvl w:val="0"/>
          <w:numId w:val="0"/>
        </w:numPr>
        <w:suppressAutoHyphens w:val="false"/>
        <w:bidi w:val="0"/>
        <w:spacing w:before="0" w:after="0"/>
        <w:ind w:left="1984" w:right="0" w:hanging="0"/>
        <w:jc w:val="both"/>
        <w:rPr>
          <w:rFonts w:ascii="Calibri" w:hAnsi="Calibri"/>
        </w:rPr>
      </w:pPr>
      <w:r>
        <w:rPr>
          <w:rFonts w:ascii="Calibri" w:hAnsi="Calibri"/>
        </w:rPr>
      </w:r>
    </w:p>
    <w:p>
      <w:pPr>
        <w:pStyle w:val="Normal"/>
        <w:widowControl/>
        <w:numPr>
          <w:ilvl w:val="2"/>
          <w:numId w:val="1"/>
        </w:numPr>
        <w:suppressAutoHyphens w:val="false"/>
        <w:bidi w:val="0"/>
        <w:spacing w:before="0" w:after="0"/>
        <w:ind w:left="397" w:right="0" w:hanging="0"/>
        <w:jc w:val="both"/>
        <w:rPr>
          <w:rFonts w:ascii="Calibri" w:hAnsi="Calibri"/>
        </w:rPr>
      </w:pPr>
      <w:r>
        <w:rPr>
          <w:rFonts w:ascii="Calibri" w:hAnsi="Calibri"/>
        </w:rPr>
        <w:t>O fiscal administrativo do contrato realizará o recebimento provisório do objeto do contrato mediante termo detalhado que comprove o cumprimento das exigências de caráter administrativo. (Art. 23, X, Decreto nº 11.246, de 2022)</w:t>
      </w:r>
    </w:p>
    <w:p>
      <w:pPr>
        <w:pStyle w:val="Normal"/>
        <w:widowControl/>
        <w:numPr>
          <w:ilvl w:val="0"/>
          <w:numId w:val="0"/>
        </w:numPr>
        <w:suppressAutoHyphens w:val="false"/>
        <w:bidi w:val="0"/>
        <w:spacing w:before="0" w:after="0"/>
        <w:ind w:left="1984" w:right="0" w:hanging="0"/>
        <w:jc w:val="both"/>
        <w:rPr>
          <w:rFonts w:ascii="Calibri" w:hAnsi="Calibri"/>
        </w:rPr>
      </w:pPr>
      <w:r>
        <w:rPr>
          <w:rFonts w:ascii="Calibri" w:hAnsi="Calibri"/>
        </w:rPr>
      </w:r>
    </w:p>
    <w:p>
      <w:pPr>
        <w:pStyle w:val="Normal"/>
        <w:widowControl/>
        <w:numPr>
          <w:ilvl w:val="2"/>
          <w:numId w:val="1"/>
        </w:numPr>
        <w:suppressAutoHyphens w:val="false"/>
        <w:bidi w:val="0"/>
        <w:spacing w:before="0" w:after="0"/>
        <w:ind w:left="397" w:right="0" w:hanging="0"/>
        <w:jc w:val="both"/>
        <w:rPr>
          <w:rFonts w:ascii="Calibri" w:hAnsi="Calibri"/>
        </w:rPr>
      </w:pPr>
      <w:r>
        <w:rPr>
          <w:rFonts w:ascii="Calibri" w:hAnsi="Calibri"/>
        </w:rPr>
        <w:t>O fiscal setorial do contrato, quando houver, realizará o recebimento provisório sob o ponto de vista técnico e administrativo.</w:t>
      </w:r>
    </w:p>
    <w:p>
      <w:pPr>
        <w:pStyle w:val="Normal"/>
        <w:widowControl/>
        <w:numPr>
          <w:ilvl w:val="0"/>
          <w:numId w:val="0"/>
        </w:numPr>
        <w:suppressAutoHyphens w:val="false"/>
        <w:bidi w:val="0"/>
        <w:spacing w:before="0" w:after="0"/>
        <w:ind w:left="794" w:right="0" w:hanging="0"/>
        <w:jc w:val="both"/>
        <w:rPr>
          <w:rFonts w:ascii="Calibri" w:hAnsi="Calibri"/>
        </w:rPr>
      </w:pPr>
      <w:r>
        <w:rPr>
          <w:rFonts w:ascii="Calibri" w:hAnsi="Calibri"/>
        </w:rPr>
      </w:r>
    </w:p>
    <w:p>
      <w:pPr>
        <w:pStyle w:val="Normal"/>
        <w:numPr>
          <w:ilvl w:val="1"/>
          <w:numId w:val="1"/>
        </w:numPr>
        <w:suppressAutoHyphens w:val="false"/>
        <w:ind w:left="0" w:right="0" w:hanging="0"/>
        <w:jc w:val="both"/>
        <w:rPr>
          <w:rFonts w:ascii="Calibri" w:hAnsi="Calibri"/>
        </w:rPr>
      </w:pPr>
      <w:r>
        <w:rPr>
          <w:rFonts w:ascii="Calibri" w:hAnsi="Calibri"/>
        </w:rPr>
        <w:t>Para efeito de recebimento provisório, ao final de cada período de faturamento, o fiscal técnico do contrato apurará o resultado das avaliações da execução do objeto e, se for o caso, a análise do desempenho e qualidade da prestação dos serviços realizados em consonância com os indicadores previstos, que poderá resultar no redimensionamento de valores a serem pagos à contratada, registrando em relatório a ser encaminhado ao gestor do contrato.</w:t>
      </w:r>
    </w:p>
    <w:p>
      <w:pPr>
        <w:pStyle w:val="Normal"/>
        <w:suppressAutoHyphens w:val="false"/>
        <w:ind w:left="0" w:right="0" w:hanging="0"/>
        <w:jc w:val="both"/>
        <w:rPr>
          <w:rFonts w:ascii="Calibri" w:hAnsi="Calibri"/>
        </w:rPr>
      </w:pPr>
      <w:r>
        <w:rPr>
          <w:rFonts w:ascii="Calibri" w:hAnsi="Calibri"/>
        </w:rPr>
      </w:r>
    </w:p>
    <w:p>
      <w:pPr>
        <w:pStyle w:val="Normal"/>
        <w:numPr>
          <w:ilvl w:val="2"/>
          <w:numId w:val="1"/>
        </w:numPr>
        <w:suppressAutoHyphens w:val="false"/>
        <w:ind w:left="397" w:right="0" w:hanging="0"/>
        <w:jc w:val="both"/>
        <w:rPr>
          <w:rFonts w:ascii="Calibri" w:hAnsi="Calibri"/>
        </w:rPr>
      </w:pPr>
      <w:r>
        <w:rPr>
          <w:rFonts w:ascii="Calibri" w:hAnsi="Calibri"/>
        </w:rPr>
        <w:t>O Contratado fica obrigado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pPr>
        <w:pStyle w:val="Normal"/>
        <w:numPr>
          <w:ilvl w:val="0"/>
          <w:numId w:val="0"/>
        </w:numPr>
        <w:suppressAutoHyphens w:val="false"/>
        <w:ind w:left="1984" w:right="0" w:hanging="0"/>
        <w:jc w:val="both"/>
        <w:rPr>
          <w:rFonts w:ascii="Calibri" w:hAnsi="Calibri"/>
        </w:rPr>
      </w:pPr>
      <w:r>
        <w:rPr>
          <w:rFonts w:ascii="Calibri" w:hAnsi="Calibri"/>
        </w:rPr>
      </w:r>
    </w:p>
    <w:p>
      <w:pPr>
        <w:pStyle w:val="Normal"/>
        <w:numPr>
          <w:ilvl w:val="2"/>
          <w:numId w:val="1"/>
        </w:numPr>
        <w:suppressAutoHyphens w:val="false"/>
        <w:ind w:left="397" w:right="0" w:hanging="0"/>
        <w:jc w:val="both"/>
        <w:rPr>
          <w:rFonts w:ascii="Calibri" w:hAnsi="Calibri"/>
        </w:rPr>
      </w:pPr>
      <w:r>
        <w:rPr>
          <w:rFonts w:ascii="Calibri" w:hAnsi="Calibri"/>
        </w:rPr>
        <w:t>A fiscalização não efetuará o ateste da última e/ou única medição de serviços até que sejam sanadas todas as eventuais pendências que possam vir a ser apontadas no Recebimento Provisório. (Art. 119 c/c art. 140 da Lei nº 14133, de 2021)</w:t>
      </w:r>
    </w:p>
    <w:p>
      <w:pPr>
        <w:pStyle w:val="Normal"/>
        <w:numPr>
          <w:ilvl w:val="0"/>
          <w:numId w:val="0"/>
        </w:numPr>
        <w:suppressAutoHyphens w:val="false"/>
        <w:ind w:left="1984" w:right="0" w:hanging="0"/>
        <w:jc w:val="both"/>
        <w:rPr>
          <w:rFonts w:ascii="Calibri" w:hAnsi="Calibri"/>
        </w:rPr>
      </w:pPr>
      <w:r>
        <w:rPr>
          <w:rFonts w:ascii="Calibri" w:hAnsi="Calibri"/>
        </w:rPr>
      </w:r>
    </w:p>
    <w:p>
      <w:pPr>
        <w:pStyle w:val="Normal"/>
        <w:numPr>
          <w:ilvl w:val="2"/>
          <w:numId w:val="1"/>
        </w:numPr>
        <w:suppressAutoHyphens w:val="false"/>
        <w:ind w:left="397" w:right="0" w:hanging="0"/>
        <w:jc w:val="both"/>
        <w:rPr>
          <w:rFonts w:ascii="Calibri" w:hAnsi="Calibri"/>
        </w:rPr>
      </w:pPr>
      <w:r>
        <w:rPr>
          <w:rFonts w:ascii="Calibri" w:hAnsi="Calibri"/>
        </w:rPr>
        <w:t>O recebimento provisório também ficará sujeito, quando cabível, à conclusão de todos os testes de campo.</w:t>
      </w:r>
    </w:p>
    <w:p>
      <w:pPr>
        <w:pStyle w:val="Normal"/>
        <w:numPr>
          <w:ilvl w:val="0"/>
          <w:numId w:val="0"/>
        </w:numPr>
        <w:suppressAutoHyphens w:val="false"/>
        <w:ind w:left="1984" w:right="0" w:hanging="0"/>
        <w:jc w:val="both"/>
        <w:rPr>
          <w:rFonts w:ascii="Calibri" w:hAnsi="Calibri"/>
        </w:rPr>
      </w:pPr>
      <w:r>
        <w:rPr>
          <w:rFonts w:ascii="Calibri" w:hAnsi="Calibri"/>
        </w:rPr>
      </w:r>
    </w:p>
    <w:p>
      <w:pPr>
        <w:pStyle w:val="Normal"/>
        <w:numPr>
          <w:ilvl w:val="2"/>
          <w:numId w:val="1"/>
        </w:numPr>
        <w:suppressAutoHyphens w:val="false"/>
        <w:ind w:left="397" w:right="0" w:hanging="0"/>
        <w:jc w:val="both"/>
        <w:rPr>
          <w:rFonts w:ascii="Calibri" w:hAnsi="Calibri"/>
        </w:rPr>
      </w:pPr>
      <w:r>
        <w:rPr>
          <w:rFonts w:ascii="Calibri" w:hAnsi="Calibri"/>
        </w:rPr>
        <w:t>Os serviços poderão ser rejeitados, no todo ou em parte, quando em desacordo com as especificações constantes neste Termo de Referência e na proposta, sem prejuízo da aplicação das penalidades.</w:t>
      </w:r>
    </w:p>
    <w:p>
      <w:pPr>
        <w:pStyle w:val="Normal"/>
        <w:suppressAutoHyphens w:val="false"/>
        <w:ind w:left="0" w:right="0" w:hanging="0"/>
        <w:jc w:val="both"/>
        <w:rPr>
          <w:rFonts w:ascii="Calibri" w:hAnsi="Calibri"/>
        </w:rPr>
      </w:pPr>
      <w:r>
        <w:rPr>
          <w:rFonts w:ascii="Calibri" w:hAnsi="Calibri"/>
        </w:rPr>
      </w:r>
    </w:p>
    <w:p>
      <w:pPr>
        <w:pStyle w:val="Normal"/>
        <w:numPr>
          <w:ilvl w:val="1"/>
          <w:numId w:val="1"/>
        </w:numPr>
        <w:suppressAutoHyphens w:val="false"/>
        <w:ind w:left="0" w:right="0" w:hanging="0"/>
        <w:jc w:val="both"/>
        <w:rPr>
          <w:rFonts w:ascii="Calibri" w:hAnsi="Calibri"/>
        </w:rPr>
      </w:pPr>
      <w:r>
        <w:rPr>
          <w:rFonts w:ascii="Calibri" w:hAnsi="Calibri"/>
        </w:rPr>
        <w:t>Os serviços serão recebidos definitivamente no prazo de 7 (sete) dias, contados do recebimento provisório, por servidor ou comissão designada pela autoridade competente, após a verificação da qualidade e quantidade do serviço e consequente aceitação mediante termo detalhado, obedecendo os seguintes procedimentos:</w:t>
      </w:r>
    </w:p>
    <w:p>
      <w:pPr>
        <w:pStyle w:val="Normal"/>
        <w:suppressAutoHyphens w:val="false"/>
        <w:ind w:left="0" w:right="0" w:hanging="0"/>
        <w:jc w:val="both"/>
        <w:rPr>
          <w:rFonts w:ascii="Calibri" w:hAnsi="Calibri"/>
        </w:rPr>
      </w:pPr>
      <w:r>
        <w:rPr>
          <w:rFonts w:ascii="Calibri" w:hAnsi="Calibri"/>
        </w:rPr>
      </w:r>
    </w:p>
    <w:p>
      <w:pPr>
        <w:pStyle w:val="Normal"/>
        <w:numPr>
          <w:ilvl w:val="2"/>
          <w:numId w:val="1"/>
        </w:numPr>
        <w:suppressAutoHyphens w:val="false"/>
        <w:ind w:left="397" w:right="0" w:hanging="0"/>
        <w:jc w:val="both"/>
        <w:rPr>
          <w:rFonts w:ascii="Calibri" w:hAnsi="Calibri"/>
        </w:rPr>
      </w:pPr>
      <w:r>
        <w:rPr>
          <w:rFonts w:ascii="Calibri" w:hAnsi="Calibri"/>
        </w:rPr>
        <w:t>Emitir documento comprobatório da avaliação realizada pelos fiscais técnico, administrativo e setorial, quando houver, no cumprimento de obrigações assumidas pelo contratado, com menção ao seu desempenho na execução contratual, baseado em indicadores objetivamente definidos e aferidos, e a eventuais penalidades aplicadas, devendo constar do cadastro de atesto de cumprimento de obrigações, conforme regulamento (art. 21, VIII, Decreto nº 11.246, de 2022).</w:t>
      </w:r>
    </w:p>
    <w:p>
      <w:pPr>
        <w:pStyle w:val="Normal"/>
        <w:numPr>
          <w:ilvl w:val="0"/>
          <w:numId w:val="0"/>
        </w:numPr>
        <w:suppressAutoHyphens w:val="false"/>
        <w:ind w:left="1984" w:right="0" w:hanging="0"/>
        <w:jc w:val="both"/>
        <w:rPr>
          <w:rFonts w:ascii="Calibri" w:hAnsi="Calibri"/>
        </w:rPr>
      </w:pPr>
      <w:r>
        <w:rPr>
          <w:rFonts w:ascii="Calibri" w:hAnsi="Calibri"/>
        </w:rPr>
      </w:r>
    </w:p>
    <w:p>
      <w:pPr>
        <w:pStyle w:val="Normal"/>
        <w:numPr>
          <w:ilvl w:val="2"/>
          <w:numId w:val="1"/>
        </w:numPr>
        <w:suppressAutoHyphens w:val="false"/>
        <w:ind w:left="397" w:right="0" w:hanging="0"/>
        <w:jc w:val="both"/>
        <w:rPr>
          <w:rFonts w:ascii="Calibri" w:hAnsi="Calibri"/>
        </w:rPr>
      </w:pPr>
      <w:r>
        <w:rPr>
          <w:rFonts w:ascii="Calibri" w:hAnsi="Calibri"/>
        </w:rPr>
        <w:t>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pPr>
        <w:pStyle w:val="Normal"/>
        <w:numPr>
          <w:ilvl w:val="0"/>
          <w:numId w:val="0"/>
        </w:numPr>
        <w:suppressAutoHyphens w:val="false"/>
        <w:ind w:left="1984" w:right="0" w:hanging="0"/>
        <w:jc w:val="both"/>
        <w:rPr>
          <w:rFonts w:ascii="Calibri" w:hAnsi="Calibri"/>
        </w:rPr>
      </w:pPr>
      <w:r>
        <w:rPr>
          <w:rFonts w:ascii="Calibri" w:hAnsi="Calibri"/>
        </w:rPr>
      </w:r>
    </w:p>
    <w:p>
      <w:pPr>
        <w:pStyle w:val="Normal"/>
        <w:numPr>
          <w:ilvl w:val="2"/>
          <w:numId w:val="1"/>
        </w:numPr>
        <w:suppressAutoHyphens w:val="false"/>
        <w:ind w:left="397" w:right="0" w:hanging="0"/>
        <w:jc w:val="both"/>
        <w:rPr>
          <w:rFonts w:ascii="Calibri" w:hAnsi="Calibri"/>
        </w:rPr>
      </w:pPr>
      <w:r>
        <w:rPr>
          <w:rFonts w:ascii="Calibri" w:hAnsi="Calibri"/>
        </w:rPr>
        <w:t>Emitir Termo Circunstanciado para efeito de recebimento definitivo dos serviços prestados, com base nos relatórios e documentações apresentadas; e</w:t>
      </w:r>
    </w:p>
    <w:p>
      <w:pPr>
        <w:pStyle w:val="Normal"/>
        <w:numPr>
          <w:ilvl w:val="0"/>
          <w:numId w:val="0"/>
        </w:numPr>
        <w:suppressAutoHyphens w:val="false"/>
        <w:ind w:left="1984" w:right="0" w:hanging="0"/>
        <w:jc w:val="both"/>
        <w:rPr>
          <w:rFonts w:ascii="Calibri" w:hAnsi="Calibri"/>
        </w:rPr>
      </w:pPr>
      <w:r>
        <w:rPr>
          <w:rFonts w:ascii="Calibri" w:hAnsi="Calibri"/>
        </w:rPr>
      </w:r>
    </w:p>
    <w:p>
      <w:pPr>
        <w:pStyle w:val="Normal"/>
        <w:numPr>
          <w:ilvl w:val="2"/>
          <w:numId w:val="1"/>
        </w:numPr>
        <w:suppressAutoHyphens w:val="false"/>
        <w:ind w:left="397" w:right="0" w:hanging="0"/>
        <w:jc w:val="both"/>
        <w:rPr>
          <w:rFonts w:ascii="Calibri" w:hAnsi="Calibri"/>
        </w:rPr>
      </w:pPr>
      <w:r>
        <w:rPr>
          <w:rFonts w:ascii="Calibri" w:hAnsi="Calibri"/>
        </w:rPr>
        <w:t>Comunicar a empresa para que emita a Nota Fiscal ou Fatura, com o valor exato dimensionado pela fiscalização.</w:t>
      </w:r>
    </w:p>
    <w:p>
      <w:pPr>
        <w:pStyle w:val="Normal"/>
        <w:numPr>
          <w:ilvl w:val="0"/>
          <w:numId w:val="0"/>
        </w:numPr>
        <w:suppressAutoHyphens w:val="false"/>
        <w:ind w:left="1984" w:right="0" w:hanging="0"/>
        <w:jc w:val="both"/>
        <w:rPr>
          <w:rFonts w:ascii="Calibri" w:hAnsi="Calibri"/>
        </w:rPr>
      </w:pPr>
      <w:r>
        <w:rPr>
          <w:rFonts w:ascii="Calibri" w:hAnsi="Calibri"/>
        </w:rPr>
      </w:r>
    </w:p>
    <w:p>
      <w:pPr>
        <w:pStyle w:val="Normal"/>
        <w:numPr>
          <w:ilvl w:val="2"/>
          <w:numId w:val="1"/>
        </w:numPr>
        <w:suppressAutoHyphens w:val="false"/>
        <w:ind w:left="397" w:right="0" w:hanging="0"/>
        <w:jc w:val="both"/>
        <w:rPr>
          <w:rFonts w:ascii="Calibri" w:hAnsi="Calibri"/>
        </w:rPr>
      </w:pPr>
      <w:r>
        <w:rPr>
          <w:rFonts w:ascii="Calibri" w:hAnsi="Calibri"/>
        </w:rPr>
        <w:t>Enviar a documentação pertinente ao setor de contratos para a formalização dos procedimentos de liquidação e pagamento, no valor dimensionado pela fiscalização e gestão.</w:t>
      </w:r>
    </w:p>
    <w:p>
      <w:pPr>
        <w:pStyle w:val="Normal"/>
        <w:suppressAutoHyphens w:val="false"/>
        <w:ind w:left="0" w:right="0" w:hanging="0"/>
        <w:jc w:val="both"/>
        <w:rPr>
          <w:rFonts w:ascii="Calibri" w:hAnsi="Calibri"/>
        </w:rPr>
      </w:pPr>
      <w:r>
        <w:rPr>
          <w:rFonts w:ascii="Calibri" w:hAnsi="Calibri"/>
        </w:rPr>
      </w:r>
    </w:p>
    <w:p>
      <w:pPr>
        <w:pStyle w:val="Normal"/>
        <w:numPr>
          <w:ilvl w:val="1"/>
          <w:numId w:val="1"/>
        </w:numPr>
        <w:suppressAutoHyphens w:val="false"/>
        <w:ind w:left="0" w:right="0" w:hanging="0"/>
        <w:jc w:val="both"/>
        <w:rPr>
          <w:rFonts w:ascii="Calibri" w:hAnsi="Calibri"/>
        </w:rPr>
      </w:pPr>
      <w:r>
        <w:rPr>
          <w:rFonts w:ascii="Calibri" w:hAnsi="Calibri"/>
        </w:rPr>
        <w:t>No caso de controvérsia sobre a execução do objeto, quanto à dimensão, qualidade e quantidade, deverá ser observado o teor do art. 143 da Lei nº 14.133, de 2021, comunicando-se à empresa para emissão de Nota Fiscal no que pertine à parcela incontroversa da execução do objeto, para efeito de liquidação e pagamento.</w:t>
      </w:r>
    </w:p>
    <w:p>
      <w:pPr>
        <w:pStyle w:val="Normal"/>
        <w:widowControl/>
        <w:numPr>
          <w:ilvl w:val="0"/>
          <w:numId w:val="0"/>
        </w:numPr>
        <w:suppressAutoHyphens w:val="false"/>
        <w:bidi w:val="0"/>
        <w:spacing w:before="0" w:after="0"/>
        <w:ind w:left="794" w:right="0" w:hanging="0"/>
        <w:jc w:val="both"/>
        <w:rPr>
          <w:rFonts w:ascii="Calibri" w:hAnsi="Calibri" w:cs="Calibri"/>
          <w:color w:val="C9211E"/>
        </w:rPr>
      </w:pPr>
      <w:r>
        <w:rPr>
          <w:rFonts w:cs="Calibri" w:ascii="Calibri" w:hAnsi="Calibri"/>
          <w:color w:val="C9211E"/>
        </w:rPr>
      </w:r>
    </w:p>
    <w:p>
      <w:pPr>
        <w:pStyle w:val="Normal"/>
        <w:widowControl/>
        <w:numPr>
          <w:ilvl w:val="2"/>
          <w:numId w:val="1"/>
        </w:numPr>
        <w:suppressAutoHyphens w:val="false"/>
        <w:bidi w:val="0"/>
        <w:spacing w:before="0" w:after="0"/>
        <w:ind w:left="794" w:right="0" w:hanging="0"/>
        <w:jc w:val="both"/>
        <w:rPr>
          <w:rFonts w:ascii="Calibri" w:hAnsi="Calibri" w:cs="Calibri"/>
          <w:color w:val="C9211E"/>
        </w:rPr>
      </w:pPr>
      <w:r>
        <w:rPr>
          <w:rFonts w:cs="Calibri" w:ascii="Calibri" w:hAnsi="Calibri"/>
        </w:rPr>
        <w:t>O prazo para a solução, pelo contratado, de inconsistências na execução do objeto ou de saneamento da nota fiscal ou de instrumento de cobrança equivalente, verificadas pelo Cremerj durante a análise prévia à liquidação de despesa, não será computado para os fins do recebimento definitivo.</w:t>
      </w:r>
    </w:p>
    <w:p>
      <w:pPr>
        <w:pStyle w:val="Normal"/>
        <w:widowControl/>
        <w:numPr>
          <w:ilvl w:val="0"/>
          <w:numId w:val="0"/>
        </w:numPr>
        <w:suppressAutoHyphens w:val="false"/>
        <w:bidi w:val="0"/>
        <w:spacing w:before="0" w:after="0"/>
        <w:ind w:left="794" w:right="0" w:hanging="0"/>
        <w:jc w:val="both"/>
        <w:rPr>
          <w:rFonts w:ascii="Calibri" w:hAnsi="Calibri" w:cs="Calibri"/>
          <w:color w:val="C9211E"/>
        </w:rPr>
      </w:pPr>
      <w:r>
        <w:rPr>
          <w:rFonts w:cs="Calibri" w:ascii="Calibri" w:hAnsi="Calibri"/>
          <w:color w:val="C9211E"/>
        </w:rPr>
      </w:r>
    </w:p>
    <w:p>
      <w:pPr>
        <w:pStyle w:val="Normal"/>
        <w:widowControl/>
        <w:numPr>
          <w:ilvl w:val="2"/>
          <w:numId w:val="1"/>
        </w:numPr>
        <w:suppressAutoHyphens w:val="false"/>
        <w:bidi w:val="0"/>
        <w:spacing w:before="0" w:after="0"/>
        <w:ind w:left="794" w:right="0" w:hanging="0"/>
        <w:jc w:val="both"/>
        <w:rPr>
          <w:rFonts w:ascii="Calibri" w:hAnsi="Calibri" w:cs="Calibri"/>
          <w:color w:val="C9211E"/>
        </w:rPr>
      </w:pPr>
      <w:r>
        <w:rPr>
          <w:rFonts w:cs="Calibri" w:ascii="Calibri" w:hAnsi="Calibri"/>
        </w:rPr>
        <w:t>O recebimento provisório ou definitivo não excluirá a responsabilidade civil pela solidez e pela segurança do serviço nem a responsabilidade ético-profissional pela perfeita execução do contrato.</w:t>
      </w:r>
    </w:p>
    <w:p>
      <w:pPr>
        <w:pStyle w:val="Normal"/>
        <w:widowControl/>
        <w:numPr>
          <w:ilvl w:val="0"/>
          <w:numId w:val="0"/>
        </w:numPr>
        <w:suppressAutoHyphens w:val="false"/>
        <w:bidi w:val="0"/>
        <w:spacing w:before="0" w:after="0"/>
        <w:ind w:left="794" w:right="0" w:hanging="0"/>
        <w:jc w:val="both"/>
        <w:rPr>
          <w:rFonts w:ascii="Calibri" w:hAnsi="Calibri" w:cs="Calibri"/>
          <w:color w:val="C9211E"/>
        </w:rPr>
      </w:pPr>
      <w:r>
        <w:rPr>
          <w:rFonts w:cs="Calibri" w:ascii="Calibri" w:hAnsi="Calibri"/>
          <w:color w:val="C9211E"/>
        </w:rPr>
      </w:r>
    </w:p>
    <w:p>
      <w:pPr>
        <w:pStyle w:val="Normal"/>
        <w:widowControl/>
        <w:numPr>
          <w:ilvl w:val="0"/>
          <w:numId w:val="0"/>
        </w:numPr>
        <w:suppressAutoHyphens w:val="false"/>
        <w:bidi w:val="0"/>
        <w:spacing w:before="0" w:after="0"/>
        <w:ind w:left="794" w:right="0" w:hanging="0"/>
        <w:jc w:val="both"/>
        <w:rPr>
          <w:u w:val="single"/>
        </w:rPr>
      </w:pPr>
      <w:r>
        <w:rPr>
          <w:rFonts w:cs="Calibri" w:ascii="Calibri" w:hAnsi="Calibri"/>
          <w:b/>
          <w:bCs/>
          <w:color w:val="00000A"/>
          <w:u w:val="single"/>
        </w:rPr>
        <w:t>Da liquidação:</w:t>
      </w:r>
    </w:p>
    <w:p>
      <w:pPr>
        <w:pStyle w:val="Normal"/>
        <w:widowControl/>
        <w:suppressAutoHyphens w:val="false"/>
        <w:bidi w:val="0"/>
        <w:spacing w:before="0" w:after="0"/>
        <w:ind w:left="0" w:right="0" w:hanging="0"/>
        <w:jc w:val="both"/>
        <w:rPr>
          <w:rFonts w:ascii="Calibri" w:hAnsi="Calibri"/>
        </w:rPr>
      </w:pPr>
      <w:r>
        <w:rPr>
          <w:rFonts w:ascii="Calibri" w:hAnsi="Calibri"/>
        </w:rPr>
      </w:r>
    </w:p>
    <w:p>
      <w:pPr>
        <w:pStyle w:val="Normal"/>
        <w:widowControl/>
        <w:numPr>
          <w:ilvl w:val="1"/>
          <w:numId w:val="1"/>
        </w:numPr>
        <w:suppressAutoHyphens w:val="false"/>
        <w:bidi w:val="0"/>
        <w:spacing w:before="0" w:after="0"/>
        <w:ind w:left="0" w:right="0" w:hanging="0"/>
        <w:jc w:val="both"/>
        <w:rPr>
          <w:rFonts w:ascii="Calibri" w:hAnsi="Calibri" w:cs="Calibri"/>
          <w:color w:val="C9211E"/>
        </w:rPr>
      </w:pPr>
      <w:r>
        <w:rPr>
          <w:rFonts w:cs="Calibri" w:ascii="Calibri" w:hAnsi="Calibri"/>
        </w:rPr>
        <w:t>Recebida a Nota Fiscal ou documento de cobrança equivalente, correrá o prazo de dez dias úteis para fins de liquidação, na forma desta seção, prorrogáveis por igual período, nos termos do art. 7º, §2º da Instrução Normativa SEGES/ME nº 77/2022.</w:t>
      </w:r>
    </w:p>
    <w:p>
      <w:pPr>
        <w:pStyle w:val="Normal"/>
        <w:numPr>
          <w:ilvl w:val="1"/>
          <w:numId w:val="1"/>
        </w:numPr>
        <w:suppressAutoHyphens w:val="false"/>
        <w:ind w:left="0" w:right="0" w:hanging="0"/>
        <w:jc w:val="both"/>
        <w:rPr>
          <w:rFonts w:ascii="Calibri" w:hAnsi="Calibri" w:cs="Calibri"/>
        </w:rPr>
      </w:pPr>
      <w:r>
        <w:rPr>
          <w:rFonts w:cs="Calibri" w:ascii="Calibri" w:hAnsi="Calibri"/>
        </w:rPr>
        <w:t>O prazo de que trata o item anterior será reduzido à metade, mantendo-se a possibilidade de prorrogação, no caso de contratações decorrentes de despesas cujos valores não ultrapassem o limite de que trata o inciso II do art. 75 da Lei nº 14.133, de 2021.</w:t>
      </w:r>
    </w:p>
    <w:p>
      <w:pPr>
        <w:pStyle w:val="Normal"/>
        <w:numPr>
          <w:ilvl w:val="0"/>
          <w:numId w:val="0"/>
        </w:numPr>
        <w:suppressAutoHyphens w:val="false"/>
        <w:ind w:left="794" w:right="0" w:hanging="0"/>
        <w:jc w:val="both"/>
        <w:rPr>
          <w:rFonts w:ascii="Calibri" w:hAnsi="Calibri" w:cs="Calibri"/>
        </w:rPr>
      </w:pPr>
      <w:r>
        <w:rPr>
          <w:rFonts w:cs="Calibri" w:ascii="Calibri" w:hAnsi="Calibri"/>
        </w:rPr>
      </w:r>
    </w:p>
    <w:p>
      <w:pPr>
        <w:pStyle w:val="Normal"/>
        <w:numPr>
          <w:ilvl w:val="1"/>
          <w:numId w:val="1"/>
        </w:numPr>
        <w:suppressAutoHyphens w:val="false"/>
        <w:ind w:left="0" w:right="0" w:hanging="0"/>
        <w:jc w:val="both"/>
        <w:rPr>
          <w:rFonts w:ascii="Calibri" w:hAnsi="Calibri" w:cs="Calibri"/>
        </w:rPr>
      </w:pPr>
      <w:r>
        <w:rPr>
          <w:rFonts w:cs="Calibri" w:ascii="Calibri" w:hAnsi="Calibri"/>
        </w:rPr>
        <w:t>Para fins de liquidação, o setor competente deverá verificar se a nota fiscal ou instrumento de cobrança equivalente apresentado expressa os elementos necessários e essenciais do documento, tais como:</w:t>
      </w:r>
    </w:p>
    <w:p>
      <w:pPr>
        <w:pStyle w:val="Normal"/>
        <w:widowControl/>
        <w:suppressAutoHyphens w:val="false"/>
        <w:bidi w:val="0"/>
        <w:spacing w:before="0" w:after="0"/>
        <w:ind w:left="794" w:right="0" w:hanging="0"/>
        <w:jc w:val="both"/>
        <w:rPr>
          <w:rFonts w:ascii="Calibri" w:hAnsi="Calibri" w:cs="Calibri"/>
          <w:color w:val="C9211E"/>
        </w:rPr>
      </w:pPr>
      <w:r>
        <w:rPr>
          <w:rFonts w:cs="Calibri" w:ascii="Calibri" w:hAnsi="Calibri"/>
          <w:color w:val="C9211E"/>
        </w:rPr>
      </w:r>
    </w:p>
    <w:p>
      <w:pPr>
        <w:pStyle w:val="Normal"/>
        <w:widowControl/>
        <w:numPr>
          <w:ilvl w:val="0"/>
          <w:numId w:val="2"/>
        </w:numPr>
        <w:suppressAutoHyphens w:val="false"/>
        <w:bidi w:val="0"/>
        <w:spacing w:before="0" w:after="0"/>
        <w:ind w:left="397" w:right="0" w:hanging="0"/>
        <w:jc w:val="both"/>
        <w:rPr>
          <w:rFonts w:ascii="Calibri" w:hAnsi="Calibri"/>
        </w:rPr>
      </w:pPr>
      <w:r>
        <w:rPr>
          <w:rFonts w:ascii="Calibri" w:hAnsi="Calibri"/>
        </w:rPr>
        <w:t>o prazo de validade;</w:t>
      </w:r>
    </w:p>
    <w:p>
      <w:pPr>
        <w:pStyle w:val="Normal"/>
        <w:widowControl/>
        <w:numPr>
          <w:ilvl w:val="0"/>
          <w:numId w:val="2"/>
        </w:numPr>
        <w:suppressAutoHyphens w:val="false"/>
        <w:bidi w:val="0"/>
        <w:spacing w:before="0" w:after="0"/>
        <w:ind w:left="397" w:right="0" w:hanging="0"/>
        <w:jc w:val="both"/>
        <w:rPr>
          <w:rFonts w:ascii="Calibri" w:hAnsi="Calibri"/>
        </w:rPr>
      </w:pPr>
      <w:r>
        <w:rPr>
          <w:rFonts w:ascii="Calibri" w:hAnsi="Calibri"/>
        </w:rPr>
        <w:t xml:space="preserve">a data da emissão; </w:t>
      </w:r>
    </w:p>
    <w:p>
      <w:pPr>
        <w:pStyle w:val="Normal"/>
        <w:widowControl/>
        <w:numPr>
          <w:ilvl w:val="0"/>
          <w:numId w:val="2"/>
        </w:numPr>
        <w:suppressAutoHyphens w:val="false"/>
        <w:bidi w:val="0"/>
        <w:spacing w:before="0" w:after="0"/>
        <w:ind w:left="397" w:right="0" w:hanging="0"/>
        <w:jc w:val="both"/>
        <w:rPr>
          <w:rFonts w:ascii="Calibri" w:hAnsi="Calibri"/>
        </w:rPr>
      </w:pPr>
      <w:r>
        <w:rPr>
          <w:rFonts w:ascii="Calibri" w:hAnsi="Calibri"/>
        </w:rPr>
        <w:t xml:space="preserve">os dados do contrato e do órgão contratante; </w:t>
      </w:r>
    </w:p>
    <w:p>
      <w:pPr>
        <w:pStyle w:val="Normal"/>
        <w:widowControl/>
        <w:numPr>
          <w:ilvl w:val="0"/>
          <w:numId w:val="2"/>
        </w:numPr>
        <w:suppressAutoHyphens w:val="false"/>
        <w:bidi w:val="0"/>
        <w:spacing w:before="0" w:after="0"/>
        <w:ind w:left="397" w:right="0" w:hanging="0"/>
        <w:jc w:val="both"/>
        <w:rPr>
          <w:rFonts w:ascii="Calibri" w:hAnsi="Calibri"/>
        </w:rPr>
      </w:pPr>
      <w:r>
        <w:rPr>
          <w:rFonts w:ascii="Calibri" w:hAnsi="Calibri"/>
        </w:rPr>
        <w:t xml:space="preserve">o período respectivo de execução do contrato; </w:t>
      </w:r>
    </w:p>
    <w:p>
      <w:pPr>
        <w:pStyle w:val="Normal"/>
        <w:widowControl/>
        <w:numPr>
          <w:ilvl w:val="0"/>
          <w:numId w:val="2"/>
        </w:numPr>
        <w:suppressAutoHyphens w:val="false"/>
        <w:bidi w:val="0"/>
        <w:spacing w:before="0" w:after="0"/>
        <w:ind w:left="397" w:right="0" w:hanging="0"/>
        <w:jc w:val="both"/>
        <w:rPr>
          <w:rFonts w:ascii="Calibri" w:hAnsi="Calibri"/>
        </w:rPr>
      </w:pPr>
      <w:r>
        <w:rPr>
          <w:rFonts w:ascii="Calibri" w:hAnsi="Calibri"/>
        </w:rPr>
        <w:t xml:space="preserve">o valor a pagar; e </w:t>
      </w:r>
    </w:p>
    <w:p>
      <w:pPr>
        <w:pStyle w:val="Normal"/>
        <w:widowControl/>
        <w:numPr>
          <w:ilvl w:val="0"/>
          <w:numId w:val="2"/>
        </w:numPr>
        <w:suppressAutoHyphens w:val="false"/>
        <w:bidi w:val="0"/>
        <w:spacing w:before="0" w:after="0"/>
        <w:ind w:left="397" w:right="0" w:hanging="0"/>
        <w:jc w:val="both"/>
        <w:rPr>
          <w:rFonts w:ascii="Calibri" w:hAnsi="Calibri"/>
        </w:rPr>
      </w:pPr>
      <w:r>
        <w:rPr>
          <w:rFonts w:ascii="Calibri" w:hAnsi="Calibri"/>
        </w:rPr>
        <w:t>eventual destaque do valor de retenções tributárias cabíveis.</w:t>
      </w:r>
    </w:p>
    <w:p>
      <w:pPr>
        <w:pStyle w:val="Normal"/>
        <w:widowControl/>
        <w:suppressAutoHyphens w:val="false"/>
        <w:bidi w:val="0"/>
        <w:spacing w:before="0" w:after="0"/>
        <w:ind w:left="794" w:right="0"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right="0" w:hanging="0"/>
        <w:jc w:val="both"/>
        <w:rPr>
          <w:rFonts w:ascii="Calibri" w:hAnsi="Calibri" w:cs="Calibri"/>
        </w:rPr>
      </w:pPr>
      <w:r>
        <w:rPr>
          <w:rFonts w:cs="Calibri" w:ascii="Calibri" w:hAnsi="Calibri"/>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pPr>
        <w:pStyle w:val="Normal"/>
        <w:numPr>
          <w:ilvl w:val="0"/>
          <w:numId w:val="0"/>
        </w:numPr>
        <w:suppressAutoHyphens w:val="false"/>
        <w:ind w:left="794" w:right="0" w:hanging="0"/>
        <w:jc w:val="both"/>
        <w:rPr>
          <w:rFonts w:ascii="Calibri" w:hAnsi="Calibri" w:cs="Calibri"/>
        </w:rPr>
      </w:pPr>
      <w:r>
        <w:rPr>
          <w:rFonts w:cs="Calibri" w:ascii="Calibri" w:hAnsi="Calibri"/>
        </w:rPr>
      </w:r>
    </w:p>
    <w:p>
      <w:pPr>
        <w:pStyle w:val="Normal"/>
        <w:numPr>
          <w:ilvl w:val="1"/>
          <w:numId w:val="1"/>
        </w:numPr>
        <w:suppressAutoHyphens w:val="false"/>
        <w:ind w:left="0" w:right="0" w:hanging="0"/>
        <w:jc w:val="both"/>
        <w:rPr>
          <w:rFonts w:ascii="Calibri" w:hAnsi="Calibri" w:cs="Calibri"/>
        </w:rPr>
      </w:pPr>
      <w:r>
        <w:rPr>
          <w:rFonts w:cs="Calibri" w:ascii="Calibri" w:hAnsi="Calibri"/>
        </w:rPr>
        <w:t>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art. 68 da Lei nº 14.133, de 2021.</w:t>
      </w:r>
    </w:p>
    <w:p>
      <w:pPr>
        <w:pStyle w:val="Normal"/>
        <w:numPr>
          <w:ilvl w:val="0"/>
          <w:numId w:val="0"/>
        </w:numPr>
        <w:suppressAutoHyphens w:val="false"/>
        <w:ind w:left="794" w:right="0" w:hanging="0"/>
        <w:jc w:val="both"/>
        <w:rPr>
          <w:rFonts w:ascii="Calibri" w:hAnsi="Calibri" w:cs="Calibri"/>
        </w:rPr>
      </w:pPr>
      <w:r>
        <w:rPr>
          <w:rFonts w:cs="Calibri" w:ascii="Calibri" w:hAnsi="Calibri"/>
        </w:rPr>
      </w:r>
    </w:p>
    <w:p>
      <w:pPr>
        <w:pStyle w:val="Normal"/>
        <w:numPr>
          <w:ilvl w:val="1"/>
          <w:numId w:val="1"/>
        </w:numPr>
        <w:suppressAutoHyphens w:val="false"/>
        <w:ind w:left="0" w:right="0" w:hanging="0"/>
        <w:jc w:val="both"/>
        <w:rPr>
          <w:rFonts w:ascii="Calibri" w:hAnsi="Calibri" w:cs="Calibri"/>
        </w:rPr>
      </w:pPr>
      <w:r>
        <w:rPr>
          <w:rFonts w:cs="Calibri" w:ascii="Calibri" w:hAnsi="Calibri"/>
        </w:rPr>
        <w:t>O Conselho deverá realizar consulta ao SICAF para: a) verificar a manutenção das condições de habilitação exigidas no edital; b) identificar possível razão que impeça a participação em licitação, no âmbito do órgão ou entidade, que implique proibição de contratar com o Poder Público, bem como ocorrências impeditivas indiretas.</w:t>
      </w:r>
    </w:p>
    <w:p>
      <w:pPr>
        <w:pStyle w:val="Normal"/>
        <w:numPr>
          <w:ilvl w:val="0"/>
          <w:numId w:val="0"/>
        </w:numPr>
        <w:suppressAutoHyphens w:val="false"/>
        <w:ind w:left="794" w:right="0" w:hanging="0"/>
        <w:jc w:val="both"/>
        <w:rPr>
          <w:rFonts w:ascii="Calibri" w:hAnsi="Calibri" w:cs="Calibri"/>
        </w:rPr>
      </w:pPr>
      <w:r>
        <w:rPr>
          <w:rFonts w:cs="Calibri" w:ascii="Calibri" w:hAnsi="Calibri"/>
        </w:rPr>
      </w:r>
    </w:p>
    <w:p>
      <w:pPr>
        <w:pStyle w:val="Normal"/>
        <w:numPr>
          <w:ilvl w:val="1"/>
          <w:numId w:val="1"/>
        </w:numPr>
        <w:suppressAutoHyphens w:val="false"/>
        <w:ind w:left="0" w:right="0" w:hanging="0"/>
        <w:jc w:val="both"/>
        <w:rPr>
          <w:rFonts w:ascii="Calibri" w:hAnsi="Calibri" w:cs="Calibri"/>
        </w:rPr>
      </w:pPr>
      <w:r>
        <w:rPr>
          <w:rFonts w:cs="Calibri" w:ascii="Calibri" w:hAnsi="Calibri"/>
        </w:rPr>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pPr>
        <w:pStyle w:val="Normal"/>
        <w:numPr>
          <w:ilvl w:val="0"/>
          <w:numId w:val="0"/>
        </w:numPr>
        <w:suppressAutoHyphens w:val="false"/>
        <w:ind w:left="794" w:right="0" w:hanging="0"/>
        <w:jc w:val="both"/>
        <w:rPr>
          <w:rFonts w:ascii="Calibri" w:hAnsi="Calibri" w:cs="Calibri"/>
        </w:rPr>
      </w:pPr>
      <w:r>
        <w:rPr>
          <w:rFonts w:cs="Calibri" w:ascii="Calibri" w:hAnsi="Calibri"/>
        </w:rPr>
      </w:r>
    </w:p>
    <w:p>
      <w:pPr>
        <w:pStyle w:val="Normal"/>
        <w:numPr>
          <w:ilvl w:val="1"/>
          <w:numId w:val="1"/>
        </w:numPr>
        <w:suppressAutoHyphens w:val="false"/>
        <w:ind w:left="0" w:right="0" w:hanging="0"/>
        <w:jc w:val="both"/>
        <w:rPr>
          <w:rFonts w:ascii="Calibri" w:hAnsi="Calibri" w:cs="Calibri"/>
        </w:rPr>
      </w:pPr>
      <w:r>
        <w:rPr>
          <w:rFonts w:cs="Calibri" w:ascii="Calibri" w:hAnsi="Calibri"/>
        </w:rPr>
        <w:t>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pPr>
        <w:pStyle w:val="Normal"/>
        <w:widowControl/>
        <w:numPr>
          <w:ilvl w:val="0"/>
          <w:numId w:val="0"/>
        </w:numPr>
        <w:suppressAutoHyphens w:val="false"/>
        <w:bidi w:val="0"/>
        <w:spacing w:before="0" w:after="0"/>
        <w:ind w:left="794" w:right="0" w:hanging="0"/>
        <w:jc w:val="both"/>
        <w:rPr>
          <w:rFonts w:ascii="Calibri" w:hAnsi="Calibri" w:cs="Calibri"/>
          <w:color w:val="C9211E"/>
        </w:rPr>
      </w:pPr>
      <w:r>
        <w:rPr>
          <w:rFonts w:cs="Calibri" w:ascii="Calibri" w:hAnsi="Calibri"/>
          <w:color w:val="C9211E"/>
        </w:rPr>
      </w:r>
    </w:p>
    <w:p>
      <w:pPr>
        <w:pStyle w:val="Normal"/>
        <w:numPr>
          <w:ilvl w:val="1"/>
          <w:numId w:val="1"/>
        </w:numPr>
        <w:suppressAutoHyphens w:val="false"/>
        <w:ind w:left="0" w:right="0" w:hanging="0"/>
        <w:jc w:val="both"/>
        <w:rPr>
          <w:rFonts w:ascii="Calibri" w:hAnsi="Calibri" w:cs="Calibri"/>
        </w:rPr>
      </w:pPr>
      <w:r>
        <w:rPr>
          <w:rFonts w:cs="Calibri" w:ascii="Calibri" w:hAnsi="Calibri"/>
        </w:rPr>
        <w:t>Persistindo a irregularidade, o contratante deverá adotar as medidas necessárias à rescisão contratual nos autos do processo administrativo correspondente, assegurada ao contratado a ampla defesa.</w:t>
      </w:r>
    </w:p>
    <w:p>
      <w:pPr>
        <w:pStyle w:val="Normal"/>
        <w:numPr>
          <w:ilvl w:val="0"/>
          <w:numId w:val="0"/>
        </w:numPr>
        <w:suppressAutoHyphens w:val="false"/>
        <w:ind w:left="794" w:right="0" w:hanging="0"/>
        <w:jc w:val="both"/>
        <w:rPr>
          <w:rFonts w:ascii="Calibri" w:hAnsi="Calibri" w:cs="Calibri"/>
        </w:rPr>
      </w:pPr>
      <w:r>
        <w:rPr>
          <w:rFonts w:cs="Calibri" w:ascii="Calibri" w:hAnsi="Calibri"/>
        </w:rPr>
      </w:r>
    </w:p>
    <w:p>
      <w:pPr>
        <w:pStyle w:val="Normal"/>
        <w:numPr>
          <w:ilvl w:val="1"/>
          <w:numId w:val="1"/>
        </w:numPr>
        <w:suppressAutoHyphens w:val="false"/>
        <w:ind w:left="0" w:right="0" w:hanging="0"/>
        <w:jc w:val="both"/>
        <w:rPr>
          <w:rFonts w:ascii="Calibri" w:hAnsi="Calibri" w:cs="Calibri"/>
        </w:rPr>
      </w:pPr>
      <w:r>
        <w:rPr>
          <w:rFonts w:cs="Calibri" w:ascii="Calibri" w:hAnsi="Calibri"/>
        </w:rPr>
        <w:t>Havendo a efetiva execução do objeto, os pagamentos serão realizados normalmente, até que se decida pela rescisão do contrato, caso o contratado não regularize sua situação junto ao SICAF.</w:t>
      </w:r>
    </w:p>
    <w:p>
      <w:pPr>
        <w:pStyle w:val="Normal"/>
        <w:widowControl/>
        <w:suppressAutoHyphens w:val="false"/>
        <w:bidi w:val="0"/>
        <w:spacing w:before="0" w:after="0"/>
        <w:ind w:left="0" w:right="0" w:hanging="0"/>
        <w:jc w:val="both"/>
        <w:rPr>
          <w:rFonts w:ascii="Calibri" w:hAnsi="Calibri"/>
        </w:rPr>
      </w:pPr>
      <w:r>
        <w:rPr>
          <w:rFonts w:ascii="Calibri" w:hAnsi="Calibri"/>
        </w:rPr>
      </w:r>
    </w:p>
    <w:p>
      <w:pPr>
        <w:pStyle w:val="Normal"/>
        <w:widowControl/>
        <w:numPr>
          <w:ilvl w:val="0"/>
          <w:numId w:val="0"/>
        </w:numPr>
        <w:suppressAutoHyphens w:val="false"/>
        <w:bidi w:val="0"/>
        <w:spacing w:before="0" w:after="0"/>
        <w:ind w:left="794" w:right="0" w:hanging="0"/>
        <w:jc w:val="both"/>
        <w:rPr>
          <w:u w:val="single"/>
        </w:rPr>
      </w:pPr>
      <w:r>
        <w:rPr>
          <w:rFonts w:cs="Calibri" w:ascii="Calibri" w:hAnsi="Calibri"/>
          <w:b/>
          <w:bCs/>
          <w:color w:val="00000A"/>
          <w:u w:val="single"/>
        </w:rPr>
        <w:t>Do prazo de pagamento:</w:t>
      </w:r>
    </w:p>
    <w:p>
      <w:pPr>
        <w:pStyle w:val="Normal"/>
        <w:widowControl/>
        <w:suppressAutoHyphens w:val="false"/>
        <w:bidi w:val="0"/>
        <w:spacing w:before="0" w:after="0"/>
        <w:ind w:left="0" w:right="0" w:hanging="0"/>
        <w:jc w:val="both"/>
        <w:rPr>
          <w:rFonts w:ascii="Calibri" w:hAnsi="Calibri"/>
        </w:rPr>
      </w:pPr>
      <w:r>
        <w:rPr>
          <w:rFonts w:ascii="Calibri" w:hAnsi="Calibri"/>
        </w:rPr>
      </w:r>
    </w:p>
    <w:p>
      <w:pPr>
        <w:pStyle w:val="Normal"/>
        <w:numPr>
          <w:ilvl w:val="1"/>
          <w:numId w:val="1"/>
        </w:numPr>
        <w:suppressAutoHyphens w:val="false"/>
        <w:ind w:left="0" w:right="0" w:hanging="0"/>
        <w:jc w:val="both"/>
        <w:rPr>
          <w:rFonts w:ascii="Calibri" w:hAnsi="Calibri" w:cs="Calibri"/>
        </w:rPr>
      </w:pPr>
      <w:r>
        <w:rPr>
          <w:rFonts w:cs="Calibri" w:ascii="Calibri" w:hAnsi="Calibri"/>
        </w:rPr>
        <w:t>O pagamento será efetuado no prazo de até 10 (dez) dias úteis contados da finalização da liquidação da despesa, conforme seção anterior, nos termos da Instrução Normativa SEGES/ME nº 77, de 2022.</w:t>
      </w:r>
    </w:p>
    <w:p>
      <w:pPr>
        <w:pStyle w:val="Normal"/>
        <w:numPr>
          <w:ilvl w:val="0"/>
          <w:numId w:val="0"/>
        </w:numPr>
        <w:suppressAutoHyphens w:val="false"/>
        <w:ind w:left="794" w:right="0" w:hanging="0"/>
        <w:jc w:val="both"/>
        <w:rPr>
          <w:rFonts w:ascii="Calibri" w:hAnsi="Calibri" w:cs="Calibri"/>
        </w:rPr>
      </w:pPr>
      <w:r>
        <w:rPr>
          <w:rFonts w:cs="Calibri" w:ascii="Calibri" w:hAnsi="Calibri"/>
        </w:rPr>
      </w:r>
    </w:p>
    <w:p>
      <w:pPr>
        <w:pStyle w:val="Normal"/>
        <w:numPr>
          <w:ilvl w:val="1"/>
          <w:numId w:val="1"/>
        </w:numPr>
        <w:suppressAutoHyphens w:val="false"/>
        <w:ind w:left="0" w:right="0" w:hanging="0"/>
        <w:jc w:val="both"/>
        <w:rPr>
          <w:rFonts w:ascii="Calibri" w:hAnsi="Calibri" w:cs="Calibri"/>
        </w:rPr>
      </w:pPr>
      <w:r>
        <w:rPr>
          <w:rFonts w:cs="Calibri" w:ascii="Calibri" w:hAnsi="Calibri"/>
        </w:rPr>
        <w:t>No caso de atraso pelo Contratante, os valores devidos ao contratado serão atualizados monetariamente entre o termo final do prazo de pagamento até a data de sua efetiva realização, mediante aplicação do índice IPCA de correção monetária.</w:t>
      </w:r>
    </w:p>
    <w:p>
      <w:pPr>
        <w:pStyle w:val="Normal"/>
        <w:numPr>
          <w:ilvl w:val="0"/>
          <w:numId w:val="0"/>
        </w:numPr>
        <w:suppressAutoHyphens w:val="false"/>
        <w:ind w:left="794" w:right="0" w:hanging="0"/>
        <w:jc w:val="both"/>
        <w:rPr>
          <w:rFonts w:ascii="Calibri" w:hAnsi="Calibri" w:cs="Calibri"/>
          <w:color w:val="C9211E"/>
        </w:rPr>
      </w:pPr>
      <w:r>
        <w:rPr>
          <w:rFonts w:cs="Calibri" w:ascii="Calibri" w:hAnsi="Calibri"/>
          <w:color w:val="C9211E"/>
        </w:rPr>
      </w:r>
    </w:p>
    <w:p>
      <w:pPr>
        <w:pStyle w:val="Normal"/>
        <w:widowControl/>
        <w:numPr>
          <w:ilvl w:val="0"/>
          <w:numId w:val="0"/>
        </w:numPr>
        <w:suppressAutoHyphens w:val="false"/>
        <w:bidi w:val="0"/>
        <w:spacing w:before="0" w:after="0"/>
        <w:ind w:left="794" w:right="0" w:hanging="0"/>
        <w:jc w:val="both"/>
        <w:rPr>
          <w:u w:val="single"/>
        </w:rPr>
      </w:pPr>
      <w:r>
        <w:rPr>
          <w:rFonts w:cs="Calibri" w:ascii="Calibri" w:hAnsi="Calibri"/>
          <w:b/>
          <w:bCs/>
          <w:color w:val="00000A"/>
          <w:u w:val="single"/>
        </w:rPr>
        <w:t>Da forma de pagamento:</w:t>
      </w:r>
    </w:p>
    <w:p>
      <w:pPr>
        <w:pStyle w:val="Normal"/>
        <w:widowControl/>
        <w:suppressAutoHyphens w:val="false"/>
        <w:bidi w:val="0"/>
        <w:spacing w:before="0" w:after="0"/>
        <w:ind w:left="0" w:right="0" w:hanging="0"/>
        <w:jc w:val="both"/>
        <w:rPr>
          <w:rFonts w:ascii="Calibri" w:hAnsi="Calibri"/>
        </w:rPr>
      </w:pPr>
      <w:r>
        <w:rPr>
          <w:rFonts w:ascii="Calibri" w:hAnsi="Calibri"/>
        </w:rPr>
      </w:r>
    </w:p>
    <w:p>
      <w:pPr>
        <w:pStyle w:val="Normal"/>
        <w:numPr>
          <w:ilvl w:val="1"/>
          <w:numId w:val="1"/>
        </w:numPr>
        <w:suppressAutoHyphens w:val="false"/>
        <w:ind w:left="0" w:right="0" w:hanging="0"/>
        <w:jc w:val="both"/>
        <w:rPr>
          <w:rFonts w:ascii="Calibri" w:hAnsi="Calibri" w:cs="Calibri"/>
        </w:rPr>
      </w:pPr>
      <w:r>
        <w:rPr>
          <w:rFonts w:cs="Calibri" w:ascii="Calibri" w:hAnsi="Calibri"/>
        </w:rPr>
        <w:t>O pagamento será realizado por meio de ordem bancária, para crédito em banco, agência e conta-corrente indicadas pelo contratado.</w:t>
      </w:r>
    </w:p>
    <w:p>
      <w:pPr>
        <w:pStyle w:val="Normal"/>
        <w:numPr>
          <w:ilvl w:val="0"/>
          <w:numId w:val="0"/>
        </w:numPr>
        <w:suppressAutoHyphens w:val="false"/>
        <w:ind w:left="794" w:right="0" w:hanging="0"/>
        <w:jc w:val="both"/>
        <w:rPr>
          <w:rFonts w:ascii="Calibri" w:hAnsi="Calibri" w:cs="Calibri"/>
        </w:rPr>
      </w:pPr>
      <w:r>
        <w:rPr>
          <w:rFonts w:cs="Calibri" w:ascii="Calibri" w:hAnsi="Calibri"/>
        </w:rPr>
      </w:r>
    </w:p>
    <w:p>
      <w:pPr>
        <w:pStyle w:val="Normal"/>
        <w:numPr>
          <w:ilvl w:val="1"/>
          <w:numId w:val="1"/>
        </w:numPr>
        <w:suppressAutoHyphens w:val="false"/>
        <w:ind w:left="0" w:right="0" w:hanging="0"/>
        <w:jc w:val="both"/>
        <w:rPr>
          <w:rFonts w:ascii="Calibri" w:hAnsi="Calibri" w:cs="Calibri"/>
        </w:rPr>
      </w:pPr>
      <w:r>
        <w:rPr>
          <w:rFonts w:cs="Calibri" w:ascii="Calibri" w:hAnsi="Calibri"/>
        </w:rPr>
        <w:t>Será considerada data do pagamento o dia em que constar como emitida a ordem bancária para pagamento.</w:t>
      </w:r>
    </w:p>
    <w:p>
      <w:pPr>
        <w:pStyle w:val="Normal"/>
        <w:numPr>
          <w:ilvl w:val="0"/>
          <w:numId w:val="0"/>
        </w:numPr>
        <w:suppressAutoHyphens w:val="false"/>
        <w:ind w:left="794" w:right="0" w:hanging="0"/>
        <w:jc w:val="both"/>
        <w:rPr>
          <w:rFonts w:ascii="Calibri" w:hAnsi="Calibri" w:cs="Calibri"/>
        </w:rPr>
      </w:pPr>
      <w:r>
        <w:rPr>
          <w:rFonts w:cs="Calibri" w:ascii="Calibri" w:hAnsi="Calibri"/>
        </w:rPr>
      </w:r>
    </w:p>
    <w:p>
      <w:pPr>
        <w:pStyle w:val="Normal"/>
        <w:numPr>
          <w:ilvl w:val="1"/>
          <w:numId w:val="1"/>
        </w:numPr>
        <w:suppressAutoHyphens w:val="false"/>
        <w:ind w:left="0" w:right="0" w:hanging="0"/>
        <w:jc w:val="both"/>
        <w:rPr>
          <w:rFonts w:ascii="Calibri" w:hAnsi="Calibri" w:cs="Calibri"/>
        </w:rPr>
      </w:pPr>
      <w:r>
        <w:rPr>
          <w:rFonts w:cs="Calibri" w:ascii="Calibri" w:hAnsi="Calibri"/>
        </w:rPr>
        <w:t>Quando do pagamento, será efetuada a retenção tributária prevista na legislação aplicável.</w:t>
      </w:r>
    </w:p>
    <w:p>
      <w:pPr>
        <w:pStyle w:val="Normal"/>
        <w:widowControl/>
        <w:numPr>
          <w:ilvl w:val="0"/>
          <w:numId w:val="0"/>
        </w:numPr>
        <w:suppressAutoHyphens w:val="false"/>
        <w:bidi w:val="0"/>
        <w:spacing w:before="0" w:after="0"/>
        <w:ind w:left="794" w:right="0" w:hanging="0"/>
        <w:jc w:val="both"/>
        <w:rPr>
          <w:rFonts w:ascii="Calibri" w:hAnsi="Calibri" w:cs="Calibri"/>
          <w:b w:val="false"/>
          <w:b w:val="false"/>
          <w:bCs w:val="false"/>
          <w:color w:val="00000A"/>
        </w:rPr>
      </w:pPr>
      <w:r>
        <w:rPr>
          <w:rFonts w:cs="Calibri" w:ascii="Calibri" w:hAnsi="Calibri"/>
          <w:b w:val="false"/>
          <w:bCs w:val="false"/>
          <w:color w:val="00000A"/>
        </w:rPr>
      </w:r>
    </w:p>
    <w:p>
      <w:pPr>
        <w:pStyle w:val="Normal"/>
        <w:widowControl/>
        <w:numPr>
          <w:ilvl w:val="2"/>
          <w:numId w:val="1"/>
        </w:numPr>
        <w:suppressAutoHyphens w:val="false"/>
        <w:bidi w:val="0"/>
        <w:spacing w:before="0" w:after="0"/>
        <w:ind w:left="510" w:right="0" w:hanging="0"/>
        <w:jc w:val="both"/>
        <w:rPr>
          <w:rFonts w:ascii="Calibri" w:hAnsi="Calibri" w:cs="Calibri"/>
          <w:b w:val="false"/>
          <w:b w:val="false"/>
          <w:bCs w:val="false"/>
          <w:color w:val="00000A"/>
        </w:rPr>
      </w:pPr>
      <w:r>
        <w:rPr>
          <w:rFonts w:cs="Calibri" w:ascii="Calibri" w:hAnsi="Calibri"/>
          <w:b w:val="false"/>
          <w:bCs w:val="false"/>
          <w:color w:val="00000A"/>
        </w:rPr>
        <w:t>Independentemente do percentual de tributo inserido na planilha, quando houver, serão retidos na fonte, quando da realização do pagamento, os percentuais estabelecidos na legislação vigente.</w:t>
      </w:r>
    </w:p>
    <w:p>
      <w:pPr>
        <w:pStyle w:val="Normal"/>
        <w:widowControl/>
        <w:numPr>
          <w:ilvl w:val="0"/>
          <w:numId w:val="0"/>
        </w:numPr>
        <w:suppressAutoHyphens w:val="false"/>
        <w:bidi w:val="0"/>
        <w:spacing w:before="0" w:after="0"/>
        <w:ind w:left="794" w:right="0" w:hanging="0"/>
        <w:jc w:val="both"/>
        <w:rPr>
          <w:rFonts w:ascii="Calibri" w:hAnsi="Calibri" w:cs="Calibri"/>
          <w:b w:val="false"/>
          <w:b w:val="false"/>
          <w:bCs w:val="false"/>
          <w:color w:val="00000A"/>
        </w:rPr>
      </w:pPr>
      <w:r>
        <w:rPr>
          <w:rFonts w:cs="Calibri" w:ascii="Calibri" w:hAnsi="Calibri"/>
          <w:b w:val="false"/>
          <w:bCs w:val="false"/>
          <w:color w:val="00000A"/>
        </w:rPr>
      </w:r>
    </w:p>
    <w:p>
      <w:pPr>
        <w:pStyle w:val="Normal"/>
        <w:widowControl/>
        <w:numPr>
          <w:ilvl w:val="1"/>
          <w:numId w:val="1"/>
        </w:numPr>
        <w:suppressAutoHyphens w:val="false"/>
        <w:bidi w:val="0"/>
        <w:spacing w:before="0" w:after="0"/>
        <w:ind w:left="0" w:right="0" w:hanging="0"/>
        <w:jc w:val="both"/>
        <w:rPr>
          <w:rFonts w:ascii="Calibri" w:hAnsi="Calibri" w:cs="Calibri"/>
          <w:b w:val="false"/>
          <w:b w:val="false"/>
          <w:bCs w:val="false"/>
          <w:color w:val="00000A"/>
        </w:rPr>
      </w:pPr>
      <w:r>
        <w:rPr>
          <w:rFonts w:cs="Calibri" w:ascii="Calibri" w:hAnsi="Calibri"/>
          <w:b w:val="false"/>
          <w:bCs w:val="false"/>
          <w:color w:val="00000A"/>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pPr>
        <w:pStyle w:val="Normal"/>
        <w:ind w:left="794" w:hanging="0"/>
        <w:jc w:val="both"/>
        <w:rPr>
          <w:rFonts w:ascii="Calibri" w:hAnsi="Calibri" w:cs="Calibri"/>
          <w:b w:val="false"/>
          <w:b w:val="false"/>
          <w:bCs w:val="false"/>
          <w:color w:val="00000A"/>
        </w:rPr>
      </w:pPr>
      <w:r>
        <w:rPr>
          <w:rFonts w:cs="Calibri" w:ascii="Calibri" w:hAnsi="Calibri"/>
          <w:b w:val="false"/>
          <w:bCs w:val="false"/>
          <w:color w:val="00000A"/>
        </w:rPr>
      </w:r>
    </w:p>
    <w:p>
      <w:pPr>
        <w:pStyle w:val="Normal"/>
        <w:widowControl/>
        <w:numPr>
          <w:ilvl w:val="0"/>
          <w:numId w:val="0"/>
        </w:numPr>
        <w:suppressAutoHyphens w:val="false"/>
        <w:bidi w:val="0"/>
        <w:spacing w:before="0" w:after="0"/>
        <w:ind w:left="794" w:right="0" w:hanging="0"/>
        <w:jc w:val="both"/>
        <w:rPr>
          <w:u w:val="single"/>
        </w:rPr>
      </w:pPr>
      <w:r>
        <w:rPr>
          <w:rFonts w:cs="Calibri" w:ascii="Calibri" w:hAnsi="Calibri"/>
          <w:b/>
          <w:bCs/>
          <w:color w:val="00000A"/>
          <w:u w:val="single"/>
        </w:rPr>
        <w:t>Da cessão de crédito:</w:t>
      </w:r>
    </w:p>
    <w:p>
      <w:pPr>
        <w:pStyle w:val="Normal"/>
        <w:widowControl/>
        <w:suppressAutoHyphens w:val="false"/>
        <w:bidi w:val="0"/>
        <w:spacing w:before="0" w:after="0"/>
        <w:ind w:left="0" w:right="0" w:hanging="0"/>
        <w:jc w:val="both"/>
        <w:rPr>
          <w:rFonts w:ascii="Calibri" w:hAnsi="Calibri"/>
        </w:rPr>
      </w:pPr>
      <w:r>
        <w:rPr>
          <w:rFonts w:ascii="Calibri" w:hAnsi="Calibri"/>
        </w:rPr>
      </w:r>
    </w:p>
    <w:p>
      <w:pPr>
        <w:pStyle w:val="Normal"/>
        <w:numPr>
          <w:ilvl w:val="1"/>
          <w:numId w:val="1"/>
        </w:numPr>
        <w:suppressAutoHyphens w:val="false"/>
        <w:ind w:left="0" w:right="0" w:hanging="0"/>
        <w:jc w:val="both"/>
        <w:rPr>
          <w:rFonts w:ascii="Calibri" w:hAnsi="Calibri" w:cs="Calibri"/>
          <w:b w:val="false"/>
          <w:b w:val="false"/>
          <w:bCs w:val="false"/>
          <w:color w:val="00000A"/>
        </w:rPr>
      </w:pPr>
      <w:r>
        <w:rPr>
          <w:rFonts w:cs="Calibri" w:ascii="Calibri" w:hAnsi="Calibri"/>
          <w:b w:val="false"/>
          <w:bCs w:val="false"/>
          <w:color w:val="00000A"/>
        </w:rPr>
        <w:t>É admitida a cessão fiduciária de direitos creditícios com instituição financeira, nos termos e de acordo com os procedimentos previstos na Instrução Normativa SEGES/ME nº 53, de 8 de Julho de 2020, conforme as regras deste presente tópico.</w:t>
      </w:r>
    </w:p>
    <w:p>
      <w:pPr>
        <w:pStyle w:val="Normal"/>
        <w:widowControl/>
        <w:suppressAutoHyphens w:val="false"/>
        <w:bidi w:val="0"/>
        <w:spacing w:before="0" w:after="0"/>
        <w:ind w:left="794" w:right="0" w:hanging="0"/>
        <w:jc w:val="both"/>
        <w:rPr>
          <w:rFonts w:ascii="Calibri" w:hAnsi="Calibri" w:cs="Calibri"/>
          <w:b w:val="false"/>
          <w:b w:val="false"/>
          <w:bCs w:val="false"/>
          <w:color w:val="00000A"/>
        </w:rPr>
      </w:pPr>
      <w:r>
        <w:rPr>
          <w:rFonts w:cs="Calibri" w:ascii="Calibri" w:hAnsi="Calibri"/>
          <w:b w:val="false"/>
          <w:bCs w:val="false"/>
          <w:color w:val="00000A"/>
        </w:rPr>
      </w:r>
    </w:p>
    <w:p>
      <w:pPr>
        <w:pStyle w:val="Normal"/>
        <w:numPr>
          <w:ilvl w:val="2"/>
          <w:numId w:val="1"/>
        </w:numPr>
        <w:suppressAutoHyphens w:val="false"/>
        <w:ind w:left="510" w:right="0" w:hanging="0"/>
        <w:jc w:val="both"/>
        <w:rPr>
          <w:rFonts w:ascii="Calibri" w:hAnsi="Calibri" w:cs="Calibri"/>
          <w:b w:val="false"/>
          <w:b w:val="false"/>
          <w:bCs w:val="false"/>
          <w:color w:val="00000A"/>
        </w:rPr>
      </w:pPr>
      <w:r>
        <w:rPr>
          <w:rFonts w:cs="Calibri" w:ascii="Calibri" w:hAnsi="Calibri"/>
          <w:b w:val="false"/>
          <w:bCs w:val="false"/>
          <w:color w:val="00000A"/>
        </w:rPr>
        <w:t>As cessões de crédito não fiduciárias dependerão de prévia aprovação do contratante.</w:t>
      </w:r>
    </w:p>
    <w:p>
      <w:pPr>
        <w:pStyle w:val="Normal"/>
        <w:widowControl/>
        <w:suppressAutoHyphens w:val="false"/>
        <w:bidi w:val="0"/>
        <w:spacing w:before="0" w:after="0"/>
        <w:ind w:left="794" w:right="0" w:hanging="0"/>
        <w:jc w:val="both"/>
        <w:rPr>
          <w:rFonts w:ascii="Calibri" w:hAnsi="Calibri" w:cs="Calibri"/>
          <w:b w:val="false"/>
          <w:b w:val="false"/>
          <w:bCs w:val="false"/>
          <w:color w:val="00000A"/>
        </w:rPr>
      </w:pPr>
      <w:r>
        <w:rPr>
          <w:rFonts w:cs="Calibri" w:ascii="Calibri" w:hAnsi="Calibri"/>
          <w:b w:val="false"/>
          <w:bCs w:val="false"/>
          <w:color w:val="00000A"/>
        </w:rPr>
      </w:r>
    </w:p>
    <w:p>
      <w:pPr>
        <w:pStyle w:val="Normal"/>
        <w:numPr>
          <w:ilvl w:val="1"/>
          <w:numId w:val="1"/>
        </w:numPr>
        <w:suppressAutoHyphens w:val="false"/>
        <w:ind w:left="0" w:right="0" w:hanging="0"/>
        <w:jc w:val="both"/>
        <w:rPr>
          <w:rFonts w:ascii="Calibri" w:hAnsi="Calibri" w:cs="Calibri"/>
          <w:b w:val="false"/>
          <w:b w:val="false"/>
          <w:bCs w:val="false"/>
          <w:color w:val="00000A"/>
        </w:rPr>
      </w:pPr>
      <w:r>
        <w:rPr>
          <w:rFonts w:cs="Calibri" w:ascii="Calibri" w:hAnsi="Calibri"/>
          <w:b w:val="false"/>
          <w:bCs w:val="false"/>
          <w:color w:val="00000A"/>
        </w:rPr>
        <w:t>A eficácia da cessão de crédito, de qualquer natureza, em relação à Administração, está condicionada à celebração de termo aditivo ao contrato administrativo.</w:t>
      </w:r>
    </w:p>
    <w:p>
      <w:pPr>
        <w:pStyle w:val="Normal"/>
        <w:numPr>
          <w:ilvl w:val="1"/>
          <w:numId w:val="1"/>
        </w:numPr>
        <w:suppressAutoHyphens w:val="false"/>
        <w:ind w:left="0" w:right="0" w:hanging="0"/>
        <w:jc w:val="both"/>
        <w:rPr>
          <w:rFonts w:ascii="Calibri" w:hAnsi="Calibri" w:cs="Calibri"/>
          <w:b w:val="false"/>
          <w:b w:val="false"/>
          <w:bCs w:val="false"/>
          <w:color w:val="00000A"/>
        </w:rPr>
      </w:pPr>
      <w:r>
        <w:rPr>
          <w:rFonts w:cs="Calibri" w:ascii="Calibri" w:hAnsi="Calibri"/>
          <w:b w:val="false"/>
          <w:bCs w:val="false"/>
          <w:color w:val="00000A"/>
        </w:rPr>
        <w:t>Sem prejuízo do regular atendimento da obrigação contratual de cumprimento de todas as condições de habilitação por parte do contratado (cedente), a celebração do aditamento de cessão de crédito e a realização dos pagamentos respectivos também se condicionam à regularidade fiscal e trabalhista do cessionário, bem como à certificação de que o cessionário não se encontra impedido de licitar e contratar com o Poder Público, conforme a legislação em vigor, ou de receber benefícios ou incentivos fiscais ou creditícios, direta ou indiretamente, conforme o art. 12 da Lei nº 8.429, de 1992, tudo nos termos do Parecer JL-01, de 18 de maio de 2020.</w:t>
      </w:r>
    </w:p>
    <w:p>
      <w:pPr>
        <w:pStyle w:val="Normal"/>
        <w:widowControl/>
        <w:numPr>
          <w:ilvl w:val="0"/>
          <w:numId w:val="0"/>
        </w:numPr>
        <w:suppressAutoHyphens w:val="false"/>
        <w:bidi w:val="0"/>
        <w:spacing w:before="0" w:after="0"/>
        <w:ind w:left="794" w:right="0" w:hanging="0"/>
        <w:jc w:val="both"/>
        <w:rPr>
          <w:rFonts w:ascii="Calibri" w:hAnsi="Calibri" w:cs="Calibri"/>
          <w:b w:val="false"/>
          <w:b w:val="false"/>
          <w:bCs w:val="false"/>
          <w:color w:val="00000A"/>
        </w:rPr>
      </w:pPr>
      <w:r>
        <w:rPr>
          <w:rFonts w:cs="Calibri" w:ascii="Calibri" w:hAnsi="Calibri"/>
          <w:b w:val="false"/>
          <w:bCs w:val="false"/>
          <w:color w:val="00000A"/>
        </w:rPr>
      </w:r>
    </w:p>
    <w:p>
      <w:pPr>
        <w:pStyle w:val="Normal"/>
        <w:numPr>
          <w:ilvl w:val="1"/>
          <w:numId w:val="1"/>
        </w:numPr>
        <w:suppressAutoHyphens w:val="false"/>
        <w:ind w:left="0" w:right="0" w:hanging="0"/>
        <w:jc w:val="both"/>
        <w:rPr>
          <w:rFonts w:ascii="Calibri" w:hAnsi="Calibri" w:cs="Calibri"/>
          <w:b w:val="false"/>
          <w:b w:val="false"/>
          <w:bCs w:val="false"/>
          <w:color w:val="00000A"/>
        </w:rPr>
      </w:pPr>
      <w:r>
        <w:rPr>
          <w:rFonts w:cs="Calibri" w:ascii="Calibri" w:hAnsi="Calibri"/>
          <w:b w:val="false"/>
          <w:bCs w:val="false"/>
          <w:color w:val="00000A"/>
        </w:rPr>
        <w:t>O crédito a ser pago à cessionária é exatamente aquele que seria destinado à cedente (contratado) pela execução do objeto contratual, restando absolutamente incólumes todas as defesas e exceções ao pagamento e todas as demais cláusulas exorbitantes ao direito comum aplicáveis no regime jurídico de direito público incidente sobre os contratos administrativos, incluindo a possibilidade de pagamento em conta vinculada ou de pagamento pela efetiva comprovação do fato gerador, quando for o caso, e o desconto de multas, glosas e prejuízos causados à Administração.</w:t>
      </w:r>
    </w:p>
    <w:p>
      <w:pPr>
        <w:pStyle w:val="Normal"/>
        <w:numPr>
          <w:ilvl w:val="0"/>
          <w:numId w:val="0"/>
        </w:numPr>
        <w:suppressAutoHyphens w:val="false"/>
        <w:ind w:left="794" w:right="0" w:hanging="0"/>
        <w:jc w:val="both"/>
        <w:rPr>
          <w:rFonts w:ascii="Calibri" w:hAnsi="Calibri" w:cs="Calibri"/>
          <w:b w:val="false"/>
          <w:b w:val="false"/>
          <w:bCs w:val="false"/>
          <w:color w:val="00000A"/>
        </w:rPr>
      </w:pPr>
      <w:r>
        <w:rPr>
          <w:rFonts w:cs="Calibri" w:ascii="Calibri" w:hAnsi="Calibri"/>
          <w:b w:val="false"/>
          <w:bCs w:val="false"/>
          <w:color w:val="00000A"/>
        </w:rPr>
      </w:r>
    </w:p>
    <w:p>
      <w:pPr>
        <w:pStyle w:val="Normal"/>
        <w:numPr>
          <w:ilvl w:val="1"/>
          <w:numId w:val="1"/>
        </w:numPr>
        <w:suppressAutoHyphens w:val="false"/>
        <w:ind w:left="0" w:right="0" w:hanging="0"/>
        <w:jc w:val="both"/>
        <w:rPr>
          <w:rFonts w:ascii="Calibri" w:hAnsi="Calibri" w:cs="Calibri"/>
          <w:b w:val="false"/>
          <w:b w:val="false"/>
          <w:bCs w:val="false"/>
          <w:color w:val="00000A"/>
        </w:rPr>
      </w:pPr>
      <w:r>
        <w:rPr>
          <w:rFonts w:ascii="Calibri" w:hAnsi="Calibri"/>
          <w:b w:val="false"/>
          <w:bCs w:val="false"/>
        </w:rPr>
        <w:t>A cessão de crédito não afetará a execução do objeto contratado, que continuará sob a integral responsabilidade do contratado.</w:t>
      </w:r>
    </w:p>
    <w:p>
      <w:pPr>
        <w:pStyle w:val="Normal"/>
        <w:ind w:left="794" w:hanging="0"/>
        <w:jc w:val="both"/>
        <w:rPr>
          <w:rFonts w:ascii="Calibri" w:hAnsi="Calibri" w:cs="Calibri"/>
          <w:color w:val="00000A"/>
        </w:rPr>
      </w:pPr>
      <w:r>
        <w:rPr>
          <w:rFonts w:cs="Calibri" w:ascii="Calibri" w:hAnsi="Calibri"/>
          <w:color w:val="00000A"/>
        </w:rPr>
      </w:r>
    </w:p>
    <w:p>
      <w:pPr>
        <w:pStyle w:val="Normal"/>
        <w:widowControl/>
        <w:numPr>
          <w:ilvl w:val="1"/>
          <w:numId w:val="1"/>
        </w:numPr>
        <w:suppressAutoHyphens w:val="false"/>
        <w:bidi w:val="0"/>
        <w:spacing w:before="0" w:after="0"/>
        <w:ind w:left="0" w:right="0" w:hanging="0"/>
        <w:jc w:val="both"/>
        <w:rPr>
          <w:rFonts w:ascii="Calibri" w:hAnsi="Calibri"/>
        </w:rPr>
      </w:pPr>
      <w:r>
        <w:rPr>
          <w:rFonts w:cs="Calibri" w:ascii="Calibri" w:hAnsi="Calibri"/>
          <w:color w:val="00000A"/>
        </w:rPr>
        <w:t>O contrato deverá ser executado fielmente pelas partes, de acordo com as cláusulas avençadas e as normas da Lei nº 14.133, de 2021, e cada parte responderá pelas consequências de sua inexecução total ou parcial (Lei nº 14.133/2021, art. 115, caput).</w:t>
      </w:r>
    </w:p>
    <w:p>
      <w:pPr>
        <w:pStyle w:val="Normal"/>
        <w:widowControl/>
        <w:numPr>
          <w:ilvl w:val="0"/>
          <w:numId w:val="0"/>
        </w:numPr>
        <w:suppressAutoHyphens w:val="false"/>
        <w:bidi w:val="0"/>
        <w:spacing w:before="0" w:after="0"/>
        <w:ind w:left="0" w:right="0"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cs="Calibri"/>
          <w:b/>
          <w:b/>
          <w:bCs/>
          <w:color w:val="FFFFFF"/>
        </w:rPr>
      </w:pPr>
      <w:r>
        <w:rPr>
          <w:rFonts w:cs="Calibri" w:ascii="Calibri" w:hAnsi="Calibri"/>
          <w:b/>
          <w:bCs/>
          <w:color w:val="FFFFFF"/>
        </w:rPr>
        <w:t>FORMA E CRITÉRIOS DE SELEÇÃO DO FORNECEDOR MEDIANTE O USO DO SISTEMA DE DISPENSA ELETRÔNICA (art. 6º, inciso XXIII, alínea ‘h’, da Lei nº 14.133/2021)</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 xml:space="preserve">O fornecedor será selecionado por meio da realização de procedimento de dispensa de licitação, na forma eletrônica, com fundamento na hipótese do art. 75, inciso </w:t>
      </w:r>
      <w:r>
        <w:rPr>
          <w:rFonts w:cs="Calibri" w:ascii="Calibri" w:hAnsi="Calibri"/>
          <w:color w:val="C9211E"/>
        </w:rPr>
        <w:t>xx</w:t>
      </w:r>
      <w:r>
        <w:rPr>
          <w:rFonts w:cs="Calibri" w:ascii="Calibri" w:hAnsi="Calibri"/>
          <w:color w:val="00000A"/>
        </w:rPr>
        <w:t xml:space="preserve"> da Lei n.º 14.133/2021 </w:t>
      </w:r>
      <w:r>
        <w:rPr>
          <w:rFonts w:cs="Calibri" w:ascii="Calibri" w:hAnsi="Calibri"/>
          <w:color w:val="C9211E"/>
        </w:rPr>
        <w:t>(indicar um dos incisos do art. 75, da Lei n.º 14.133/2021, conforme o caso concreto)</w:t>
      </w:r>
      <w:r>
        <w:rPr>
          <w:rFonts w:cs="Calibri" w:ascii="Calibri" w:hAnsi="Calibri"/>
          <w:color w:val="00000A"/>
        </w:rPr>
        <w:t xml:space="preserve">, que culminará com a seleção da proposta de </w:t>
      </w:r>
      <w:r>
        <w:rPr>
          <w:rFonts w:cs="Calibri" w:ascii="Calibri" w:hAnsi="Calibri"/>
          <w:color w:val="C9211E"/>
        </w:rPr>
        <w:t>...............(menor preço por grupo/item/global OU maior desconto)</w:t>
      </w:r>
      <w:r>
        <w:rPr>
          <w:rFonts w:cs="Calibri" w:ascii="Calibri" w:hAnsi="Calibri"/>
          <w:color w:val="00000A"/>
        </w:rPr>
        <w:t xml:space="preserve">.  </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As exigências de habilitação jurídica, fiscal, social e trabalhista são as usuais para a generalidade dos objetos, conforme disciplinado no Anexo I do Aviso de Contratação Direta.</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Os critérios de habilitação econômico-financeira a serem atendidos pelo fornecedor estão previstos no Anexo I do Aviso de Contratação Direta.</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1"/>
          <w:numId w:val="1"/>
        </w:numPr>
        <w:suppressAutoHyphens w:val="false"/>
        <w:ind w:left="0" w:hanging="0"/>
        <w:jc w:val="both"/>
        <w:rPr>
          <w:rFonts w:ascii="Calibri" w:hAnsi="Calibri" w:cs="Calibri"/>
          <w:color w:val="00000A"/>
        </w:rPr>
      </w:pPr>
      <w:r>
        <w:rPr>
          <w:rFonts w:cs="Calibri" w:ascii="Calibri" w:hAnsi="Calibri"/>
          <w:color w:val="00000A"/>
        </w:rPr>
        <w:t>Os critérios de habilitação técnica a serem atendidos pelo fornecedor serão:</w:t>
      </w:r>
    </w:p>
    <w:p>
      <w:pPr>
        <w:pStyle w:val="Normal"/>
        <w:suppressAutoHyphens w:val="false"/>
        <w:jc w:val="both"/>
        <w:rPr>
          <w:rFonts w:ascii="Calibri" w:hAnsi="Calibri" w:cs="Calibri"/>
          <w:color w:val="00000A"/>
        </w:rPr>
      </w:pPr>
      <w:r>
        <w:rPr>
          <w:rFonts w:cs="Calibri" w:ascii="Calibri" w:hAnsi="Calibri"/>
          <w:color w:val="00000A"/>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Comprovação de aptidão para o fornecimento de bens similares de complexidade tecnológica e operacional equivalente ou superior ao objeto desta contratação, ou com o item pertinente, por meio da apresentação de certidões ou atestados, por pessoas jurídicas de direito público ou privado, ou regularmente emitido(s) pelo conselho profissional competente, quando for o caso.</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3"/>
          <w:numId w:val="1"/>
        </w:numPr>
        <w:suppressAutoHyphens w:val="false"/>
        <w:ind w:left="1587" w:hanging="0"/>
        <w:jc w:val="both"/>
        <w:rPr>
          <w:rFonts w:ascii="Calibri" w:hAnsi="Calibri" w:cs="Calibri"/>
          <w:color w:val="C9211E"/>
        </w:rPr>
      </w:pPr>
      <w:r>
        <w:rPr>
          <w:rFonts w:cs="Calibri" w:ascii="Calibri" w:hAnsi="Calibri"/>
        </w:rPr>
        <w:t>Para fins da comprovação de que trata este subitem, os atestados deverão dizer respeito a contratos executados com as seguintes características mínimas:</w:t>
      </w:r>
    </w:p>
    <w:p>
      <w:pPr>
        <w:pStyle w:val="Normal"/>
        <w:numPr>
          <w:ilvl w:val="0"/>
          <w:numId w:val="2"/>
        </w:numPr>
        <w:suppressAutoHyphens w:val="false"/>
        <w:ind w:left="2891" w:hanging="0"/>
        <w:jc w:val="both"/>
        <w:rPr>
          <w:rFonts w:ascii="Calibri" w:hAnsi="Calibri" w:cs="Calibri"/>
          <w:color w:val="C9211E"/>
        </w:rPr>
      </w:pPr>
      <w:r>
        <w:rPr>
          <w:rFonts w:cs="Calibri" w:ascii="Calibri" w:hAnsi="Calibri"/>
          <w:color w:val="C9211E"/>
        </w:rPr>
        <w:t>(…)</w:t>
      </w:r>
    </w:p>
    <w:p>
      <w:pPr>
        <w:pStyle w:val="Normal"/>
        <w:suppressAutoHyphens w:val="false"/>
        <w:ind w:left="2891" w:hanging="0"/>
        <w:jc w:val="both"/>
        <w:rPr>
          <w:rFonts w:ascii="Calibri" w:hAnsi="Calibri" w:cs="Calibri"/>
          <w:color w:val="C9211E"/>
        </w:rPr>
      </w:pPr>
      <w:r>
        <w:rPr>
          <w:rFonts w:cs="Calibri" w:ascii="Calibri" w:hAnsi="Calibri"/>
          <w:color w:val="C9211E"/>
        </w:rPr>
      </w:r>
    </w:p>
    <w:p>
      <w:pPr>
        <w:pStyle w:val="Normal"/>
        <w:numPr>
          <w:ilvl w:val="3"/>
          <w:numId w:val="1"/>
        </w:numPr>
        <w:suppressAutoHyphens w:val="false"/>
        <w:ind w:left="1587" w:hanging="0"/>
        <w:jc w:val="both"/>
        <w:rPr>
          <w:rFonts w:ascii="Calibri" w:hAnsi="Calibri" w:cs="Calibri"/>
          <w:color w:val="C9211E"/>
        </w:rPr>
      </w:pPr>
      <w:r>
        <w:rPr>
          <w:rFonts w:cs="Calibri" w:ascii="Calibri" w:hAnsi="Calibri"/>
        </w:rPr>
        <w:t>Será admitida, para fins de comprovação de quantitativo mínimo, a apresentação e o somatório de diferentes atestados executados de forma concomitante.</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Os atestados de capacidade técnica poderão ser apresentados em nome da matriz ou da filial do fornecedor.</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rFonts w:ascii="Calibri" w:hAnsi="Calibri" w:cs="Calibri"/>
          <w:color w:val="C9211E"/>
        </w:rPr>
      </w:pPr>
      <w:r>
        <w:rPr>
          <w:rFonts w:cs="Calibri" w:ascii="Calibri" w:hAnsi="Calibri"/>
        </w:rPr>
        <w:t>O fornecedor disponibilizará todas as informações necessárias à comprovação da legitimidade dos atestados, apresentando, quando solicitado pela Administração, cópia do contrato que deu suporte à contratação, endereço atual da contratante e local em que foi executado o objeto contratado, dentre outros documentos.</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2"/>
          <w:numId w:val="1"/>
        </w:numPr>
        <w:suppressAutoHyphens w:val="false"/>
        <w:ind w:left="794" w:hanging="0"/>
        <w:jc w:val="both"/>
        <w:rPr>
          <w:color w:val="C9211E"/>
        </w:rPr>
      </w:pPr>
      <w:r>
        <w:rPr>
          <w:rFonts w:cs="Calibri" w:ascii="Calibri" w:hAnsi="Calibri"/>
          <w:color w:val="C9211E"/>
        </w:rPr>
        <w:t xml:space="preserve">Prova de atendimento aos requisitos ........, previstos na lei ............: </w:t>
      </w:r>
    </w:p>
    <w:p>
      <w:pPr>
        <w:pStyle w:val="Normal"/>
        <w:suppressAutoHyphens w:val="false"/>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cs="Calibri"/>
          <w:b/>
          <w:b/>
          <w:bCs/>
          <w:color w:val="FFFFFF"/>
        </w:rPr>
      </w:pPr>
      <w:r>
        <w:rPr>
          <w:rFonts w:cs="Calibri" w:ascii="Calibri" w:hAnsi="Calibri"/>
          <w:b/>
          <w:bCs/>
          <w:color w:val="FFFFFF"/>
        </w:rPr>
        <w:t>ADEQUAÇÃO ORÇAMENTÁRIA</w:t>
      </w:r>
    </w:p>
    <w:p>
      <w:pPr>
        <w:pStyle w:val="Normal"/>
        <w:ind w:left="79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s="Calibri"/>
          <w:color w:val="00000A"/>
        </w:rPr>
      </w:pPr>
      <w:r>
        <w:rPr>
          <w:rFonts w:cs="Calibri" w:ascii="Calibri" w:hAnsi="Calibri"/>
          <w:color w:val="00000A"/>
        </w:rPr>
        <w:t>As despesas decorrentes da presente contratação correrão à conta de recursos específicos consignados no orçamento do CREMERJ deste exercício, na dotação abaixo discriminada:</w:t>
      </w:r>
    </w:p>
    <w:p>
      <w:pPr>
        <w:pStyle w:val="Normal"/>
        <w:snapToGrid w:val="false"/>
        <w:jc w:val="both"/>
        <w:rPr>
          <w:rFonts w:ascii="Calibri" w:hAnsi="Calibri" w:cs="Calibri"/>
          <w:color w:val="000000"/>
          <w:lang w:eastAsia="en-US"/>
        </w:rPr>
      </w:pPr>
      <w:r>
        <w:rPr>
          <w:rFonts w:cs="Calibri" w:ascii="Calibri" w:hAnsi="Calibri"/>
          <w:color w:val="000000"/>
          <w:lang w:eastAsia="en-US"/>
        </w:rPr>
      </w:r>
    </w:p>
    <w:tbl>
      <w:tblPr>
        <w:tblW w:w="9754"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6859"/>
        <w:gridCol w:w="1439"/>
        <w:gridCol w:w="1456"/>
      </w:tblGrid>
      <w:tr>
        <w:trPr/>
        <w:tc>
          <w:tcPr>
            <w:tcW w:w="6859"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sz w:val="20"/>
                <w:szCs w:val="20"/>
              </w:rPr>
            </w:pPr>
            <w:r>
              <w:rPr>
                <w:rFonts w:cs="Calibri" w:ascii="Calibri" w:hAnsi="Calibri"/>
                <w:b/>
                <w:bCs/>
                <w:color w:val="FFFFFF"/>
                <w:sz w:val="20"/>
                <w:szCs w:val="20"/>
              </w:rPr>
              <w:t>ELEMENTO DE DESPESA</w:t>
            </w:r>
          </w:p>
        </w:tc>
        <w:tc>
          <w:tcPr>
            <w:tcW w:w="1439"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PRÉ-EMPENHO</w:t>
            </w:r>
          </w:p>
        </w:tc>
        <w:tc>
          <w:tcPr>
            <w:tcW w:w="1456" w:type="dxa"/>
            <w:tcBorders>
              <w:top w:val="single" w:sz="2" w:space="0" w:color="000000"/>
              <w:left w:val="single" w:sz="2" w:space="0" w:color="000000"/>
              <w:bottom w:val="single" w:sz="2" w:space="0" w:color="000000"/>
              <w:right w:val="single" w:sz="2" w:space="0" w:color="000000"/>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VALOR GLOBAL</w:t>
            </w:r>
          </w:p>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ESTIMADO</w:t>
            </w:r>
          </w:p>
        </w:tc>
      </w:tr>
      <w:tr>
        <w:trPr>
          <w:trHeight w:val="439" w:hRule="atLeast"/>
        </w:trPr>
        <w:tc>
          <w:tcPr>
            <w:tcW w:w="6859" w:type="dxa"/>
            <w:tcBorders>
              <w:left w:val="single" w:sz="2" w:space="0" w:color="000000"/>
              <w:bottom w:val="single" w:sz="2" w:space="0" w:color="000000"/>
            </w:tcBorders>
            <w:vAlign w:val="center"/>
          </w:tcPr>
          <w:p>
            <w:pPr>
              <w:pStyle w:val="Contedodatabela"/>
              <w:widowControl w:val="false"/>
              <w:jc w:val="center"/>
              <w:rPr>
                <w:color w:val="C9211E"/>
                <w:sz w:val="20"/>
                <w:szCs w:val="20"/>
              </w:rPr>
            </w:pPr>
            <w:r>
              <w:rPr>
                <w:rFonts w:cs="Calibri" w:ascii="Calibri" w:hAnsi="Calibri" w:asciiTheme="minorHAnsi" w:cstheme="minorHAnsi" w:hAnsiTheme="minorHAnsi"/>
                <w:color w:val="C9211E"/>
                <w:sz w:val="20"/>
                <w:szCs w:val="20"/>
                <w:shd w:fill="FFFFFF" w:val="clear"/>
              </w:rPr>
              <w:t>6.2.2.1.1.33.90.30.010 – Nome_Conta</w:t>
            </w:r>
          </w:p>
        </w:tc>
        <w:tc>
          <w:tcPr>
            <w:tcW w:w="1439" w:type="dxa"/>
            <w:tcBorders>
              <w:left w:val="single" w:sz="2" w:space="0" w:color="000000"/>
              <w:bottom w:val="single" w:sz="2" w:space="0" w:color="000000"/>
            </w:tcBorders>
            <w:vAlign w:val="center"/>
          </w:tcPr>
          <w:p>
            <w:pPr>
              <w:pStyle w:val="Contedodatabela"/>
              <w:widowControl w:val="false"/>
              <w:snapToGrid w:val="false"/>
              <w:jc w:val="center"/>
              <w:rPr>
                <w:rFonts w:ascii="Calibri" w:hAnsi="Calibri" w:cs="Calibri" w:asciiTheme="minorHAnsi" w:cstheme="minorHAnsi" w:hAnsiTheme="minorHAnsi"/>
                <w:color w:val="C9211E"/>
                <w:sz w:val="20"/>
                <w:szCs w:val="20"/>
              </w:rPr>
            </w:pPr>
            <w:r>
              <w:rPr>
                <w:rFonts w:cs="Calibri" w:ascii="Calibri" w:hAnsi="Calibri" w:cstheme="minorHAnsi"/>
                <w:color w:val="C9211E"/>
                <w:sz w:val="20"/>
                <w:szCs w:val="20"/>
              </w:rPr>
              <w:t>XX/2023</w:t>
            </w:r>
          </w:p>
        </w:tc>
        <w:tc>
          <w:tcPr>
            <w:tcW w:w="1456" w:type="dxa"/>
            <w:tcBorders>
              <w:left w:val="single" w:sz="2" w:space="0" w:color="000000"/>
              <w:bottom w:val="single" w:sz="2" w:space="0" w:color="000000"/>
              <w:right w:val="single" w:sz="2" w:space="0" w:color="000000"/>
            </w:tcBorders>
            <w:vAlign w:val="center"/>
          </w:tcPr>
          <w:p>
            <w:pPr>
              <w:pStyle w:val="Contedodatabela"/>
              <w:widowControl w:val="false"/>
              <w:snapToGrid w:val="false"/>
              <w:jc w:val="center"/>
              <w:rPr>
                <w:color w:val="C9211E"/>
                <w:sz w:val="20"/>
                <w:szCs w:val="20"/>
              </w:rPr>
            </w:pPr>
            <w:r>
              <w:rPr>
                <w:rFonts w:cs="Calibri" w:ascii="Calibri" w:hAnsi="Calibri" w:asciiTheme="minorHAnsi" w:cstheme="minorHAnsi" w:hAnsiTheme="minorHAnsi"/>
                <w:color w:val="C9211E"/>
                <w:sz w:val="20"/>
                <w:szCs w:val="20"/>
              </w:rPr>
              <w:t>R$ 0.000,00</w:t>
            </w:r>
          </w:p>
        </w:tc>
      </w:tr>
    </w:tbl>
    <w:p>
      <w:pPr>
        <w:pStyle w:val="Normal"/>
        <w:snapToGrid w:val="false"/>
        <w:jc w:val="both"/>
        <w:rPr>
          <w:rFonts w:ascii="Calibri" w:hAnsi="Calibri" w:cs="Calibri"/>
          <w:color w:val="000000"/>
          <w:lang w:eastAsia="en-US"/>
        </w:rPr>
      </w:pPr>
      <w:r>
        <w:rPr>
          <w:rFonts w:cs="Calibri" w:ascii="Calibri" w:hAnsi="Calibri"/>
          <w:color w:val="000000"/>
          <w:lang w:eastAsia="en-US"/>
        </w:rPr>
      </w:r>
    </w:p>
    <w:p>
      <w:pPr>
        <w:sectPr>
          <w:headerReference w:type="default" r:id="rId3"/>
          <w:footerReference w:type="default" r:id="rId4"/>
          <w:type w:val="nextPage"/>
          <w:pgSz w:w="11906" w:h="16838"/>
          <w:pgMar w:left="1077" w:right="1077" w:gutter="0" w:header="709" w:top="1900" w:footer="283" w:bottom="1587"/>
          <w:pgNumType w:fmt="decimal"/>
          <w:formProt w:val="false"/>
          <w:textDirection w:val="lrTb"/>
          <w:docGrid w:type="default" w:linePitch="312" w:charSpace="0"/>
        </w:sectPr>
        <w:pStyle w:val="Normal"/>
        <w:numPr>
          <w:ilvl w:val="1"/>
          <w:numId w:val="1"/>
        </w:numPr>
        <w:snapToGrid w:val="false"/>
        <w:ind w:left="0" w:hanging="0"/>
        <w:jc w:val="both"/>
        <w:rPr>
          <w:rFonts w:ascii="Calibri" w:hAnsi="Calibri" w:cs="Calibri"/>
          <w:color w:val="00000A"/>
        </w:rPr>
      </w:pPr>
      <w:r>
        <w:rPr>
          <w:rFonts w:cs="Calibri" w:ascii="Calibri" w:hAnsi="Calibri"/>
          <w:color w:val="00000A"/>
          <w:lang w:eastAsia="en-US"/>
        </w:rPr>
        <w:t>A dotação relativa aos exercícios financeiros subsequentes será indicada após aprovação do orçamento pela Diretoria do Cremerj e liberação dos créditos correspondentes, mediante apostilamento.</w:t>
      </w:r>
    </w:p>
    <w:p>
      <w:pPr>
        <w:pStyle w:val="Normal"/>
        <w:numPr>
          <w:ilvl w:val="0"/>
          <w:numId w:val="1"/>
        </w:numPr>
        <w:shd w:val="clear" w:color="auto" w:fill="38AB81"/>
        <w:jc w:val="both"/>
        <w:rPr>
          <w:rFonts w:ascii="Calibri" w:hAnsi="Calibri"/>
        </w:rPr>
      </w:pPr>
      <w:r>
        <w:rPr>
          <w:rFonts w:cs="Calibri" w:ascii="Calibri" w:hAnsi="Calibri"/>
          <w:b/>
          <w:bCs/>
          <w:color w:val="FFFFFF"/>
        </w:rPr>
        <w:t>DOS CASOS OMISSOS</w:t>
      </w:r>
    </w:p>
    <w:p>
      <w:pPr>
        <w:pStyle w:val="Normal"/>
        <w:jc w:val="both"/>
        <w:rPr>
          <w:rFonts w:ascii="Calibri" w:hAnsi="Calibri" w:cs="Calibri"/>
          <w:b/>
          <w:b/>
          <w:bCs/>
          <w:color w:val="FFFFFF"/>
        </w:rPr>
      </w:pPr>
      <w:r>
        <w:rPr>
          <w:rFonts w:cs="Calibri" w:ascii="Calibri" w:hAnsi="Calibri"/>
          <w:b/>
          <w:bCs/>
          <w:color w:val="FFFFFF"/>
        </w:rPr>
      </w:r>
    </w:p>
    <w:p>
      <w:pPr>
        <w:pStyle w:val="Normal"/>
        <w:numPr>
          <w:ilvl w:val="1"/>
          <w:numId w:val="1"/>
        </w:numPr>
        <w:snapToGrid w:val="false"/>
        <w:ind w:left="0" w:hanging="0"/>
        <w:jc w:val="both"/>
        <w:rPr>
          <w:rFonts w:ascii="Calibri" w:hAnsi="Calibri"/>
        </w:rPr>
      </w:pPr>
      <w:r>
        <w:rPr>
          <w:rFonts w:cs="Calibri" w:ascii="Calibri" w:hAnsi="Calibri"/>
          <w:color w:val="00000A"/>
        </w:rPr>
        <w:t xml:space="preserve">Os casos omissos serão decididos pela CONTRATANTE, segundo as disposições contidas na Lei nº 14.133, de 1º de abril de 2021, e demais normas federais de licitações e contratos administrativos e, subsidiariamente, segundo as disposições contidas na Lei nº 8.078, de 1990 – Código de Defesa do Consumidor – e normas e princípios gerais dos contratos. </w:t>
      </w:r>
    </w:p>
    <w:p>
      <w:pPr>
        <w:pStyle w:val="Normal"/>
        <w:snapToGrid w:val="false"/>
        <w:jc w:val="both"/>
        <w:rPr>
          <w:rFonts w:ascii="Calibri" w:hAnsi="Calibri"/>
        </w:rPr>
      </w:pPr>
      <w:r>
        <w:rPr>
          <w:rFonts w:ascii="Calibri" w:hAnsi="Calibri"/>
        </w:rPr>
      </w:r>
    </w:p>
    <w:p>
      <w:pPr>
        <w:pStyle w:val="Normal"/>
        <w:snapToGrid w:val="false"/>
        <w:ind w:left="794" w:hanging="0"/>
        <w:jc w:val="right"/>
        <w:rPr>
          <w:rFonts w:ascii="Calibri" w:hAnsi="Calibri"/>
        </w:rPr>
      </w:pPr>
      <w:commentRangeStart w:id="18"/>
      <w:r>
        <w:rPr>
          <w:rFonts w:cs="Calibri" w:ascii="Calibri" w:hAnsi="Calibri" w:cstheme="minorHAnsi"/>
          <w:color w:val="000000"/>
        </w:rPr>
        <w:t>Rio de Janeiro, xx</w:t>
      </w:r>
      <w:r>
        <w:rPr>
          <w:rFonts w:cs="Calibri" w:ascii="Calibri" w:hAnsi="Calibri" w:cstheme="minorHAnsi"/>
        </w:rPr>
        <w:t xml:space="preserve"> de xxxxx de 2023</w:t>
      </w:r>
      <w:r>
        <w:rPr>
          <w:rFonts w:cs="Calibri" w:ascii="Calibri" w:hAnsi="Calibri"/>
          <w:color w:val="000000"/>
        </w:rPr>
        <w:t>.</w:t>
      </w:r>
      <w:commentRangeEnd w:id="18"/>
      <w:r>
        <w:commentReference w:id="18"/>
      </w:r>
      <w:r>
        <w:rPr>
          <w:rFonts w:cs="Calibri" w:ascii="Calibri" w:hAnsi="Calibri"/>
          <w:color w:val="000000"/>
        </w:rPr>
      </w:r>
    </w:p>
    <w:p>
      <w:pPr>
        <w:pStyle w:val="Normal"/>
        <w:snapToGrid w:val="false"/>
        <w:ind w:left="794" w:hanging="0"/>
        <w:jc w:val="right"/>
        <w:rPr>
          <w:rFonts w:ascii="Calibri" w:hAnsi="Calibri" w:cs="Calibri"/>
          <w:color w:val="000000"/>
        </w:rPr>
      </w:pPr>
      <w:r>
        <w:rPr>
          <w:rFonts w:cs="Calibri" w:ascii="Calibri" w:hAnsi="Calibri"/>
          <w:color w:val="000000"/>
        </w:rPr>
      </w:r>
    </w:p>
    <w:tbl>
      <w:tblPr>
        <w:tblW w:w="9752" w:type="dxa"/>
        <w:jc w:val="left"/>
        <w:tblInd w:w="115" w:type="dxa"/>
        <w:tblLayout w:type="fixed"/>
        <w:tblCellMar>
          <w:top w:w="55" w:type="dxa"/>
          <w:left w:w="55" w:type="dxa"/>
          <w:bottom w:w="55" w:type="dxa"/>
          <w:right w:w="55" w:type="dxa"/>
        </w:tblCellMar>
        <w:tblLook w:firstRow="1" w:noVBand="1" w:lastRow="0" w:firstColumn="1" w:lastColumn="0" w:noHBand="0" w:val="04a0"/>
      </w:tblPr>
      <w:tblGrid>
        <w:gridCol w:w="4876"/>
        <w:gridCol w:w="4875"/>
      </w:tblGrid>
      <w:tr>
        <w:trPr/>
        <w:tc>
          <w:tcPr>
            <w:tcW w:w="4876" w:type="dxa"/>
            <w:tcBorders>
              <w:top w:val="single" w:sz="2" w:space="0" w:color="000000"/>
              <w:left w:val="single" w:sz="2" w:space="0" w:color="000000"/>
              <w:bottom w:val="single" w:sz="2" w:space="0" w:color="000000"/>
            </w:tcBorders>
          </w:tcPr>
          <w:p>
            <w:pPr>
              <w:pStyle w:val="Contedodatabela"/>
              <w:widowControl w:val="false"/>
              <w:jc w:val="center"/>
              <w:rPr>
                <w:rFonts w:ascii="Calibri" w:hAnsi="Calibri"/>
              </w:rPr>
            </w:pPr>
            <w:r>
              <w:rPr>
                <w:rFonts w:ascii="Calibri" w:hAnsi="Calibri"/>
              </w:rPr>
              <w:t>Elaboração do Termo de Referência</w:t>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t>_______________________</w:t>
            </w:r>
          </w:p>
          <w:p>
            <w:pPr>
              <w:pStyle w:val="Contedodatabela"/>
              <w:widowControl w:val="false"/>
              <w:jc w:val="center"/>
              <w:rPr/>
            </w:pPr>
            <w:r>
              <w:rPr>
                <w:rFonts w:ascii="Calibri" w:hAnsi="Calibri"/>
              </w:rPr>
              <w:t>Nome</w:t>
            </w:r>
          </w:p>
          <w:p>
            <w:pPr>
              <w:pStyle w:val="Contedodatabela"/>
              <w:widowControl w:val="false"/>
              <w:jc w:val="center"/>
              <w:rPr>
                <w:color w:val="000000"/>
              </w:rPr>
            </w:pPr>
            <w:r>
              <w:rPr>
                <w:rFonts w:ascii="Calibri" w:hAnsi="Calibri"/>
                <w:color w:val="000000"/>
              </w:rPr>
              <w:t>Análise Técnica e Compras</w:t>
            </w:r>
          </w:p>
        </w:tc>
        <w:tc>
          <w:tcPr>
            <w:tcW w:w="4875" w:type="dxa"/>
            <w:tcBorders>
              <w:top w:val="single" w:sz="2" w:space="0" w:color="000000"/>
              <w:left w:val="single" w:sz="2" w:space="0" w:color="000000"/>
              <w:bottom w:val="single" w:sz="2" w:space="0" w:color="000000"/>
              <w:right w:val="single" w:sz="2" w:space="0" w:color="000000"/>
            </w:tcBorders>
          </w:tcPr>
          <w:p>
            <w:pPr>
              <w:pStyle w:val="Contedodatabela"/>
              <w:widowControl w:val="false"/>
              <w:jc w:val="center"/>
              <w:rPr>
                <w:rFonts w:ascii="Calibri" w:hAnsi="Calibri"/>
              </w:rPr>
            </w:pPr>
            <w:r>
              <w:rPr>
                <w:rFonts w:ascii="Calibri" w:hAnsi="Calibri"/>
              </w:rPr>
              <w:t>Aprovação Técnica</w:t>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t>_______________________</w:t>
            </w:r>
          </w:p>
          <w:p>
            <w:pPr>
              <w:pStyle w:val="Contedodatabela"/>
              <w:widowControl w:val="false"/>
              <w:jc w:val="center"/>
              <w:rPr>
                <w:rFonts w:ascii="Calibri" w:hAnsi="Calibri"/>
                <w:color w:val="C9211E"/>
              </w:rPr>
            </w:pPr>
            <w:r>
              <w:rPr>
                <w:rFonts w:ascii="Calibri" w:hAnsi="Calibri"/>
                <w:color w:val="C9211E"/>
              </w:rPr>
              <w:t>Nome</w:t>
            </w:r>
          </w:p>
          <w:p>
            <w:pPr>
              <w:pStyle w:val="Contedodatabela"/>
              <w:widowControl w:val="false"/>
              <w:jc w:val="center"/>
              <w:rPr>
                <w:rFonts w:ascii="Calibri" w:hAnsi="Calibri"/>
                <w:color w:val="C9211E"/>
              </w:rPr>
            </w:pPr>
            <w:r>
              <w:rPr>
                <w:rFonts w:ascii="Calibri" w:hAnsi="Calibri"/>
                <w:color w:val="C9211E"/>
              </w:rPr>
              <w:t>Função Setor</w:t>
            </w:r>
          </w:p>
        </w:tc>
      </w:tr>
      <w:tr>
        <w:trPr/>
        <w:tc>
          <w:tcPr>
            <w:tcW w:w="4876" w:type="dxa"/>
            <w:tcBorders>
              <w:left w:val="single" w:sz="2" w:space="0" w:color="000000"/>
              <w:bottom w:val="single" w:sz="2" w:space="0" w:color="000000"/>
            </w:tcBorders>
          </w:tcPr>
          <w:p>
            <w:pPr>
              <w:pStyle w:val="Contedodatabela"/>
              <w:widowControl w:val="false"/>
              <w:jc w:val="center"/>
              <w:rPr>
                <w:rFonts w:ascii="Calibri" w:hAnsi="Calibri"/>
              </w:rPr>
            </w:pPr>
            <w:r>
              <w:rPr>
                <w:rFonts w:ascii="Calibri" w:hAnsi="Calibri"/>
              </w:rPr>
              <w:t>Encaminha-se a Gerente-Geral</w:t>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t>_______________________</w:t>
            </w:r>
          </w:p>
          <w:p>
            <w:pPr>
              <w:pStyle w:val="Contedodatabela"/>
              <w:widowControl w:val="false"/>
              <w:jc w:val="center"/>
              <w:rPr>
                <w:rFonts w:ascii="Calibri" w:hAnsi="Calibri"/>
              </w:rPr>
            </w:pPr>
            <w:r>
              <w:rPr>
                <w:rFonts w:ascii="Calibri" w:hAnsi="Calibri"/>
              </w:rPr>
              <w:t>Nome</w:t>
            </w:r>
          </w:p>
          <w:p>
            <w:pPr>
              <w:pStyle w:val="Contedodatabela"/>
              <w:widowControl w:val="false"/>
              <w:jc w:val="center"/>
              <w:rPr>
                <w:rFonts w:ascii="Calibri" w:hAnsi="Calibri"/>
              </w:rPr>
            </w:pPr>
            <w:r>
              <w:rPr>
                <w:rFonts w:ascii="Calibri" w:hAnsi="Calibri"/>
              </w:rPr>
              <w:t>Gerente-Geral</w:t>
            </w:r>
          </w:p>
        </w:tc>
        <w:tc>
          <w:tcPr>
            <w:tcW w:w="4875" w:type="dxa"/>
            <w:tcBorders>
              <w:left w:val="single" w:sz="2" w:space="0" w:color="000000"/>
              <w:bottom w:val="single" w:sz="2" w:space="0" w:color="000000"/>
              <w:right w:val="single" w:sz="2" w:space="0" w:color="000000"/>
            </w:tcBorders>
          </w:tcPr>
          <w:p>
            <w:pPr>
              <w:pStyle w:val="Contedodatabela"/>
              <w:widowControl w:val="false"/>
              <w:jc w:val="center"/>
              <w:rPr>
                <w:rFonts w:ascii="Calibri" w:hAnsi="Calibri"/>
              </w:rPr>
            </w:pPr>
            <w:r>
              <w:rPr>
                <w:rFonts w:ascii="Calibri" w:hAnsi="Calibri"/>
              </w:rPr>
              <w:t>De acordo com as motivações presentes nos documentos deste processo, aprovo este Termo de Referência.</w:t>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r>
          </w:p>
          <w:p>
            <w:pPr>
              <w:pStyle w:val="Contedodatabela"/>
              <w:widowControl w:val="false"/>
              <w:jc w:val="center"/>
              <w:rPr>
                <w:rFonts w:ascii="Calibri" w:hAnsi="Calibri"/>
              </w:rPr>
            </w:pPr>
            <w:r>
              <w:rPr>
                <w:rFonts w:ascii="Calibri" w:hAnsi="Calibri"/>
              </w:rPr>
              <w:t>__________________________________</w:t>
            </w:r>
          </w:p>
          <w:p>
            <w:pPr>
              <w:pStyle w:val="Contedodatabela"/>
              <w:widowControl w:val="false"/>
              <w:jc w:val="center"/>
              <w:rPr>
                <w:rFonts w:ascii="Calibri" w:hAnsi="Calibri"/>
              </w:rPr>
            </w:pPr>
            <w:r>
              <w:rPr>
                <w:rFonts w:cs="Calibri" w:ascii="Calibri" w:hAnsi="Calibri" w:asciiTheme="minorHAnsi" w:cstheme="minorHAnsi" w:hAnsiTheme="minorHAnsi"/>
                <w:shd w:fill="FFFFFF" w:val="clear"/>
              </w:rPr>
              <w:t>Nome</w:t>
            </w:r>
          </w:p>
          <w:p>
            <w:pPr>
              <w:pStyle w:val="Contedodatabela"/>
              <w:widowControl w:val="false"/>
              <w:jc w:val="center"/>
              <w:rPr>
                <w:rFonts w:ascii="Calibri" w:hAnsi="Calibri"/>
              </w:rPr>
            </w:pPr>
            <w:r>
              <w:rPr>
                <w:rFonts w:cs="Calibri" w:ascii="Calibri" w:hAnsi="Calibri" w:asciiTheme="minorHAnsi" w:cstheme="minorHAnsi" w:hAnsiTheme="minorHAnsi"/>
              </w:rPr>
              <w:t>Presidente</w:t>
            </w:r>
          </w:p>
        </w:tc>
      </w:tr>
    </w:tbl>
    <w:p>
      <w:pPr>
        <w:sectPr>
          <w:headerReference w:type="default" r:id="rId5"/>
          <w:footerReference w:type="default" r:id="rId6"/>
          <w:type w:val="nextPage"/>
          <w:pgSz w:w="11906" w:h="16838"/>
          <w:pgMar w:left="1077" w:right="1077" w:gutter="0" w:header="709" w:top="1900" w:footer="283" w:bottom="1587"/>
          <w:pgNumType w:fmt="decimal"/>
          <w:formProt w:val="false"/>
          <w:textDirection w:val="lrTb"/>
          <w:docGrid w:type="default" w:linePitch="312" w:charSpace="0"/>
        </w:sectPr>
      </w:pPr>
    </w:p>
    <w:p>
      <w:pPr>
        <w:pStyle w:val="Normal"/>
        <w:shd w:val="clear" w:color="auto" w:fill="38AB81"/>
        <w:jc w:val="center"/>
        <w:rPr/>
      </w:pPr>
      <w:commentRangeStart w:id="19"/>
      <w:r>
        <w:rPr>
          <w:rFonts w:cs="Times New Roman" w:ascii="Calibri" w:hAnsi="Calibri"/>
          <w:b/>
          <w:bCs/>
          <w:color w:val="FFFFFF"/>
        </w:rPr>
        <w:t>ANEXO I – PLANILHA DE CUSTOS E FORMAÇÃO DE PREÇOS</w:t>
      </w:r>
    </w:p>
    <w:p>
      <w:pPr>
        <w:pStyle w:val="Normal"/>
        <w:jc w:val="center"/>
        <w:rPr>
          <w:rFonts w:ascii="Calibri" w:hAnsi="Calibri" w:cs="Times New Roman"/>
          <w:b/>
          <w:b/>
          <w:bCs/>
        </w:rPr>
      </w:pPr>
      <w:r>
        <w:rPr>
          <w:rFonts w:cs="Times New Roman" w:ascii="Calibri" w:hAnsi="Calibri"/>
          <w:b/>
          <w:bCs/>
        </w:rPr>
      </w:r>
    </w:p>
    <w:tbl>
      <w:tblPr>
        <w:tblW w:w="9750" w:type="dxa"/>
        <w:jc w:val="center"/>
        <w:tblInd w:w="0" w:type="dxa"/>
        <w:tblLayout w:type="fixed"/>
        <w:tblCellMar>
          <w:top w:w="55" w:type="dxa"/>
          <w:left w:w="12" w:type="dxa"/>
          <w:bottom w:w="55" w:type="dxa"/>
          <w:right w:w="55" w:type="dxa"/>
        </w:tblCellMar>
        <w:tblLook w:firstRow="1" w:noVBand="1" w:lastRow="0" w:firstColumn="1" w:lastColumn="0" w:noHBand="0" w:val="04a0"/>
      </w:tblPr>
      <w:tblGrid>
        <w:gridCol w:w="507"/>
        <w:gridCol w:w="3739"/>
        <w:gridCol w:w="855"/>
        <w:gridCol w:w="1200"/>
        <w:gridCol w:w="1070"/>
        <w:gridCol w:w="1131"/>
        <w:gridCol w:w="1247"/>
      </w:tblGrid>
      <w:tr>
        <w:trPr/>
        <w:tc>
          <w:tcPr>
            <w:tcW w:w="507"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ITEM</w:t>
            </w:r>
          </w:p>
        </w:tc>
        <w:tc>
          <w:tcPr>
            <w:tcW w:w="3739"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DESCRIÇÃO/ESPECIFICAÇÃO</w:t>
            </w:r>
          </w:p>
        </w:tc>
        <w:tc>
          <w:tcPr>
            <w:tcW w:w="855"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QTD</w:t>
            </w:r>
          </w:p>
        </w:tc>
        <w:tc>
          <w:tcPr>
            <w:tcW w:w="120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MARCA</w:t>
            </w:r>
          </w:p>
        </w:tc>
        <w:tc>
          <w:tcPr>
            <w:tcW w:w="107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UNIDADE</w:t>
            </w:r>
          </w:p>
        </w:tc>
        <w:tc>
          <w:tcPr>
            <w:tcW w:w="1131"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VALOR</w:t>
            </w:r>
          </w:p>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UNITÁRIO</w:t>
            </w:r>
          </w:p>
        </w:tc>
        <w:tc>
          <w:tcPr>
            <w:tcW w:w="1247"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SUBTOTAL</w:t>
            </w:r>
          </w:p>
        </w:tc>
      </w:tr>
      <w:tr>
        <w:trPr/>
        <w:tc>
          <w:tcPr>
            <w:tcW w:w="507"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Light" w:ascii="Calibri" w:hAnsi="Calibri" w:cstheme="majorHAnsi"/>
                <w:sz w:val="20"/>
                <w:szCs w:val="20"/>
              </w:rPr>
              <w:t>01</w:t>
            </w:r>
          </w:p>
        </w:tc>
        <w:tc>
          <w:tcPr>
            <w:tcW w:w="3739" w:type="dxa"/>
            <w:tcBorders>
              <w:left w:val="single" w:sz="2" w:space="0" w:color="000001"/>
              <w:bottom w:val="single" w:sz="2" w:space="0" w:color="000001"/>
            </w:tcBorders>
            <w:vAlign w:val="center"/>
          </w:tcPr>
          <w:p>
            <w:pPr>
              <w:pStyle w:val="Contedodatabela"/>
              <w:widowControl w:val="false"/>
              <w:jc w:val="both"/>
              <w:rPr>
                <w:sz w:val="20"/>
                <w:szCs w:val="20"/>
              </w:rPr>
            </w:pPr>
            <w:r>
              <w:rPr>
                <w:rFonts w:cs="Calibri" w:ascii="Calibri" w:hAnsi="Calibri" w:asciiTheme="minorHAnsi" w:cstheme="minorHAnsi" w:hAnsiTheme="minorHAnsi"/>
                <w:color w:val="000000"/>
                <w:sz w:val="20"/>
                <w:szCs w:val="20"/>
              </w:rPr>
              <w:t>Item 1</w:t>
            </w:r>
          </w:p>
        </w:tc>
        <w:tc>
          <w:tcPr>
            <w:tcW w:w="855" w:type="dxa"/>
            <w:tcBorders>
              <w:left w:val="single" w:sz="2" w:space="0" w:color="000001"/>
              <w:bottom w:val="single" w:sz="2" w:space="0" w:color="000001"/>
            </w:tcBorders>
            <w:vAlign w:val="center"/>
          </w:tcPr>
          <w:p>
            <w:pPr>
              <w:pStyle w:val="Contedodatabela"/>
              <w:widowControl w:val="false"/>
              <w:jc w:val="center"/>
              <w:rPr>
                <w:rFonts w:ascii="Calibri" w:hAnsi="Calibri"/>
                <w:sz w:val="20"/>
                <w:szCs w:val="20"/>
              </w:rPr>
            </w:pPr>
            <w:r>
              <w:rPr>
                <w:rFonts w:ascii="Calibri" w:hAnsi="Calibri"/>
                <w:sz w:val="20"/>
                <w:szCs w:val="20"/>
              </w:rPr>
              <w:t>0</w:t>
            </w:r>
            <w:r>
              <w:rPr>
                <w:rFonts w:cs="Calibri" w:ascii="Calibri" w:hAnsi="Calibri"/>
                <w:sz w:val="20"/>
                <w:szCs w:val="20"/>
              </w:rPr>
              <w:t>6</w:t>
            </w:r>
          </w:p>
        </w:tc>
        <w:tc>
          <w:tcPr>
            <w:tcW w:w="1200" w:type="dxa"/>
            <w:tcBorders>
              <w:left w:val="single" w:sz="2" w:space="0" w:color="000001"/>
              <w:bottom w:val="single" w:sz="2" w:space="0" w:color="000001"/>
            </w:tcBorders>
            <w:vAlign w:val="center"/>
          </w:tcPr>
          <w:p>
            <w:pPr>
              <w:pStyle w:val="Contedodatabela"/>
              <w:widowControl w:val="false"/>
              <w:jc w:val="center"/>
              <w:rPr>
                <w:sz w:val="20"/>
                <w:szCs w:val="20"/>
              </w:rPr>
            </w:pPr>
            <w:r>
              <w:rPr>
                <w:sz w:val="20"/>
                <w:szCs w:val="20"/>
              </w:rPr>
            </w:r>
          </w:p>
        </w:tc>
        <w:tc>
          <w:tcPr>
            <w:tcW w:w="1070"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sz w:val="20"/>
                <w:szCs w:val="20"/>
              </w:rPr>
              <w:t>Caixa com 305 metros</w:t>
            </w:r>
          </w:p>
        </w:tc>
        <w:tc>
          <w:tcPr>
            <w:tcW w:w="1131"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w:t>
            </w:r>
          </w:p>
        </w:tc>
        <w:tc>
          <w:tcPr>
            <w:tcW w:w="1247" w:type="dxa"/>
            <w:tcBorders>
              <w:left w:val="single" w:sz="2" w:space="0" w:color="000001"/>
              <w:bottom w:val="single" w:sz="2" w:space="0" w:color="000001"/>
              <w:right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R$ 0.000,00</w:t>
            </w:r>
          </w:p>
        </w:tc>
      </w:tr>
      <w:tr>
        <w:trPr/>
        <w:tc>
          <w:tcPr>
            <w:tcW w:w="507"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Light" w:ascii="Calibri" w:hAnsi="Calibri" w:cstheme="majorHAnsi"/>
                <w:sz w:val="20"/>
                <w:szCs w:val="20"/>
              </w:rPr>
              <w:t>02</w:t>
            </w:r>
          </w:p>
        </w:tc>
        <w:tc>
          <w:tcPr>
            <w:tcW w:w="3739" w:type="dxa"/>
            <w:tcBorders>
              <w:left w:val="single" w:sz="2" w:space="0" w:color="000001"/>
              <w:bottom w:val="single" w:sz="2" w:space="0" w:color="000001"/>
            </w:tcBorders>
            <w:vAlign w:val="center"/>
          </w:tcPr>
          <w:p>
            <w:pPr>
              <w:pStyle w:val="Contedodatabela"/>
              <w:widowControl w:val="false"/>
              <w:jc w:val="both"/>
              <w:rPr>
                <w:sz w:val="20"/>
                <w:szCs w:val="20"/>
              </w:rPr>
            </w:pPr>
            <w:r>
              <w:rPr>
                <w:rFonts w:cs="Calibri" w:ascii="Calibri" w:hAnsi="Calibri" w:asciiTheme="minorHAnsi" w:cstheme="minorHAnsi" w:hAnsiTheme="minorHAnsi"/>
                <w:color w:val="000000"/>
                <w:sz w:val="20"/>
                <w:szCs w:val="20"/>
              </w:rPr>
              <w:t>Item 2</w:t>
            </w:r>
          </w:p>
        </w:tc>
        <w:tc>
          <w:tcPr>
            <w:tcW w:w="855" w:type="dxa"/>
            <w:tcBorders>
              <w:left w:val="single" w:sz="2" w:space="0" w:color="000001"/>
              <w:bottom w:val="single" w:sz="2" w:space="0" w:color="000001"/>
            </w:tcBorders>
            <w:vAlign w:val="center"/>
          </w:tcPr>
          <w:p>
            <w:pPr>
              <w:pStyle w:val="Contedodatabela"/>
              <w:widowControl w:val="false"/>
              <w:jc w:val="center"/>
              <w:rPr>
                <w:rFonts w:ascii="Calibri" w:hAnsi="Calibri"/>
                <w:sz w:val="20"/>
                <w:szCs w:val="20"/>
              </w:rPr>
            </w:pPr>
            <w:r>
              <w:rPr>
                <w:rFonts w:cs="Calibri" w:ascii="Calibri" w:hAnsi="Calibri"/>
                <w:sz w:val="20"/>
                <w:szCs w:val="20"/>
              </w:rPr>
              <w:t>70</w:t>
            </w:r>
          </w:p>
        </w:tc>
        <w:tc>
          <w:tcPr>
            <w:tcW w:w="1200" w:type="dxa"/>
            <w:tcBorders>
              <w:left w:val="single" w:sz="2" w:space="0" w:color="000001"/>
              <w:bottom w:val="single" w:sz="2" w:space="0" w:color="000001"/>
            </w:tcBorders>
            <w:vAlign w:val="center"/>
          </w:tcPr>
          <w:p>
            <w:pPr>
              <w:pStyle w:val="Contedodatabela"/>
              <w:widowControl w:val="false"/>
              <w:jc w:val="center"/>
              <w:rPr>
                <w:sz w:val="20"/>
                <w:szCs w:val="20"/>
              </w:rPr>
            </w:pPr>
            <w:r>
              <w:rPr>
                <w:sz w:val="20"/>
                <w:szCs w:val="20"/>
              </w:rPr>
            </w:r>
          </w:p>
        </w:tc>
        <w:tc>
          <w:tcPr>
            <w:tcW w:w="1070"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sz w:val="20"/>
                <w:szCs w:val="20"/>
              </w:rPr>
              <w:t>Unidade</w:t>
            </w:r>
          </w:p>
        </w:tc>
        <w:tc>
          <w:tcPr>
            <w:tcW w:w="1131"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w:t>
            </w:r>
          </w:p>
        </w:tc>
        <w:tc>
          <w:tcPr>
            <w:tcW w:w="1247" w:type="dxa"/>
            <w:tcBorders>
              <w:left w:val="single" w:sz="2" w:space="0" w:color="000001"/>
              <w:bottom w:val="single" w:sz="2" w:space="0" w:color="000001"/>
              <w:right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R$ 0.000,00</w:t>
            </w:r>
          </w:p>
        </w:tc>
      </w:tr>
      <w:tr>
        <w:trPr/>
        <w:tc>
          <w:tcPr>
            <w:tcW w:w="507"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Light" w:ascii="Calibri" w:hAnsi="Calibri" w:cstheme="majorHAnsi"/>
                <w:sz w:val="20"/>
                <w:szCs w:val="20"/>
              </w:rPr>
              <w:t>03</w:t>
            </w:r>
          </w:p>
        </w:tc>
        <w:tc>
          <w:tcPr>
            <w:tcW w:w="3739" w:type="dxa"/>
            <w:tcBorders>
              <w:left w:val="single" w:sz="2" w:space="0" w:color="000001"/>
              <w:bottom w:val="single" w:sz="2" w:space="0" w:color="000001"/>
            </w:tcBorders>
            <w:vAlign w:val="center"/>
          </w:tcPr>
          <w:p>
            <w:pPr>
              <w:pStyle w:val="Contedodatabela"/>
              <w:widowControl w:val="false"/>
              <w:jc w:val="both"/>
              <w:rPr>
                <w:sz w:val="20"/>
                <w:szCs w:val="20"/>
              </w:rPr>
            </w:pPr>
            <w:r>
              <w:rPr>
                <w:rFonts w:cs="Calibri" w:ascii="Calibri" w:hAnsi="Calibri" w:asciiTheme="minorHAnsi" w:cstheme="minorHAnsi" w:hAnsiTheme="minorHAnsi"/>
                <w:color w:val="000000"/>
                <w:sz w:val="20"/>
                <w:szCs w:val="20"/>
              </w:rPr>
              <w:t>Item 3</w:t>
            </w:r>
          </w:p>
        </w:tc>
        <w:tc>
          <w:tcPr>
            <w:tcW w:w="855" w:type="dxa"/>
            <w:tcBorders>
              <w:left w:val="single" w:sz="2" w:space="0" w:color="000001"/>
              <w:bottom w:val="single" w:sz="2" w:space="0" w:color="000001"/>
            </w:tcBorders>
            <w:vAlign w:val="center"/>
          </w:tcPr>
          <w:p>
            <w:pPr>
              <w:pStyle w:val="Contedodatabela"/>
              <w:widowControl w:val="false"/>
              <w:jc w:val="center"/>
              <w:rPr>
                <w:rFonts w:ascii="Calibri" w:hAnsi="Calibri"/>
                <w:sz w:val="20"/>
                <w:szCs w:val="20"/>
              </w:rPr>
            </w:pPr>
            <w:r>
              <w:rPr>
                <w:rFonts w:cs="Calibri" w:ascii="Calibri" w:hAnsi="Calibri"/>
                <w:sz w:val="20"/>
                <w:szCs w:val="20"/>
              </w:rPr>
              <w:t>40</w:t>
            </w:r>
          </w:p>
        </w:tc>
        <w:tc>
          <w:tcPr>
            <w:tcW w:w="1200" w:type="dxa"/>
            <w:tcBorders>
              <w:left w:val="single" w:sz="2" w:space="0" w:color="000001"/>
              <w:bottom w:val="single" w:sz="2" w:space="0" w:color="000001"/>
            </w:tcBorders>
            <w:vAlign w:val="center"/>
          </w:tcPr>
          <w:p>
            <w:pPr>
              <w:pStyle w:val="Contedodatabela"/>
              <w:widowControl w:val="false"/>
              <w:jc w:val="center"/>
              <w:rPr>
                <w:sz w:val="20"/>
                <w:szCs w:val="20"/>
              </w:rPr>
            </w:pPr>
            <w:r>
              <w:rPr>
                <w:sz w:val="20"/>
                <w:szCs w:val="20"/>
              </w:rPr>
            </w:r>
          </w:p>
        </w:tc>
        <w:tc>
          <w:tcPr>
            <w:tcW w:w="1070"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sz w:val="20"/>
                <w:szCs w:val="20"/>
              </w:rPr>
              <w:t>Unidade</w:t>
            </w:r>
          </w:p>
        </w:tc>
        <w:tc>
          <w:tcPr>
            <w:tcW w:w="1131"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w:t>
            </w:r>
          </w:p>
        </w:tc>
        <w:tc>
          <w:tcPr>
            <w:tcW w:w="1247" w:type="dxa"/>
            <w:tcBorders>
              <w:left w:val="single" w:sz="2" w:space="0" w:color="000001"/>
              <w:bottom w:val="single" w:sz="2" w:space="0" w:color="000001"/>
              <w:right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R$ 0.000,00</w:t>
            </w:r>
          </w:p>
        </w:tc>
      </w:tr>
      <w:tr>
        <w:trPr/>
        <w:tc>
          <w:tcPr>
            <w:tcW w:w="507"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Light" w:ascii="Calibri" w:hAnsi="Calibri" w:cstheme="majorHAnsi"/>
                <w:sz w:val="20"/>
                <w:szCs w:val="20"/>
              </w:rPr>
              <w:t>04</w:t>
            </w:r>
          </w:p>
        </w:tc>
        <w:tc>
          <w:tcPr>
            <w:tcW w:w="3739" w:type="dxa"/>
            <w:tcBorders>
              <w:left w:val="single" w:sz="2" w:space="0" w:color="000001"/>
              <w:bottom w:val="single" w:sz="2" w:space="0" w:color="000001"/>
            </w:tcBorders>
            <w:vAlign w:val="center"/>
          </w:tcPr>
          <w:p>
            <w:pPr>
              <w:pStyle w:val="Contedodatabela"/>
              <w:widowControl w:val="false"/>
              <w:jc w:val="both"/>
              <w:rPr>
                <w:sz w:val="20"/>
                <w:szCs w:val="20"/>
              </w:rPr>
            </w:pPr>
            <w:r>
              <w:rPr>
                <w:rFonts w:cs="Calibri" w:ascii="Calibri" w:hAnsi="Calibri" w:asciiTheme="minorHAnsi" w:cstheme="minorHAnsi" w:hAnsiTheme="minorHAnsi"/>
                <w:color w:val="000000"/>
                <w:sz w:val="20"/>
                <w:szCs w:val="20"/>
              </w:rPr>
              <w:t>Item 4</w:t>
            </w:r>
          </w:p>
        </w:tc>
        <w:tc>
          <w:tcPr>
            <w:tcW w:w="855" w:type="dxa"/>
            <w:tcBorders>
              <w:left w:val="single" w:sz="2" w:space="0" w:color="000001"/>
              <w:bottom w:val="single" w:sz="2" w:space="0" w:color="000001"/>
            </w:tcBorders>
            <w:vAlign w:val="center"/>
          </w:tcPr>
          <w:p>
            <w:pPr>
              <w:pStyle w:val="Contedodatabela"/>
              <w:widowControl w:val="false"/>
              <w:jc w:val="center"/>
              <w:rPr>
                <w:rFonts w:ascii="Calibri" w:hAnsi="Calibri"/>
                <w:sz w:val="20"/>
                <w:szCs w:val="20"/>
              </w:rPr>
            </w:pPr>
            <w:r>
              <w:rPr>
                <w:rFonts w:cs="Calibri" w:ascii="Calibri" w:hAnsi="Calibri"/>
                <w:sz w:val="20"/>
                <w:szCs w:val="20"/>
              </w:rPr>
              <w:t>02</w:t>
            </w:r>
          </w:p>
        </w:tc>
        <w:tc>
          <w:tcPr>
            <w:tcW w:w="1200" w:type="dxa"/>
            <w:tcBorders>
              <w:left w:val="single" w:sz="2" w:space="0" w:color="000001"/>
              <w:bottom w:val="single" w:sz="2" w:space="0" w:color="000001"/>
            </w:tcBorders>
            <w:vAlign w:val="center"/>
          </w:tcPr>
          <w:p>
            <w:pPr>
              <w:pStyle w:val="Contedodatabela"/>
              <w:widowControl w:val="false"/>
              <w:jc w:val="center"/>
              <w:rPr>
                <w:sz w:val="20"/>
                <w:szCs w:val="20"/>
              </w:rPr>
            </w:pPr>
            <w:r>
              <w:rPr>
                <w:sz w:val="20"/>
                <w:szCs w:val="20"/>
              </w:rPr>
            </w:r>
          </w:p>
        </w:tc>
        <w:tc>
          <w:tcPr>
            <w:tcW w:w="1070"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sz w:val="20"/>
                <w:szCs w:val="20"/>
              </w:rPr>
              <w:t>Unidade</w:t>
            </w:r>
          </w:p>
        </w:tc>
        <w:tc>
          <w:tcPr>
            <w:tcW w:w="1131" w:type="dxa"/>
            <w:tcBorders>
              <w:left w:val="single" w:sz="2" w:space="0" w:color="000001"/>
              <w:bottom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w:t>
            </w:r>
          </w:p>
        </w:tc>
        <w:tc>
          <w:tcPr>
            <w:tcW w:w="1247" w:type="dxa"/>
            <w:tcBorders>
              <w:left w:val="single" w:sz="2" w:space="0" w:color="000001"/>
              <w:bottom w:val="single" w:sz="2" w:space="0" w:color="000001"/>
              <w:right w:val="single" w:sz="2" w:space="0" w:color="000001"/>
            </w:tcBorders>
            <w:vAlign w:val="center"/>
          </w:tcPr>
          <w:p>
            <w:pPr>
              <w:pStyle w:val="Contedodatabela"/>
              <w:widowControl w:val="false"/>
              <w:jc w:val="center"/>
              <w:rPr>
                <w:sz w:val="20"/>
                <w:szCs w:val="20"/>
              </w:rPr>
            </w:pPr>
            <w:r>
              <w:rPr>
                <w:rFonts w:cs="Calibri" w:ascii="Calibri" w:hAnsi="Calibri" w:asciiTheme="minorHAnsi" w:cstheme="minorHAnsi" w:hAnsiTheme="minorHAnsi"/>
                <w:color w:val="000000"/>
                <w:sz w:val="20"/>
                <w:szCs w:val="20"/>
              </w:rPr>
              <w:t>R$ 0.000,00</w:t>
            </w:r>
          </w:p>
        </w:tc>
      </w:tr>
      <w:tr>
        <w:trPr/>
        <w:tc>
          <w:tcPr>
            <w:tcW w:w="7371" w:type="dxa"/>
            <w:gridSpan w:val="5"/>
            <w:tcBorders>
              <w:left w:val="single" w:sz="2" w:space="0" w:color="000001"/>
              <w:bottom w:val="single" w:sz="2" w:space="0" w:color="000001"/>
            </w:tcBorders>
            <w:shd w:color="auto" w:fill="38AB81" w:val="clear"/>
            <w:vAlign w:val="center"/>
          </w:tcPr>
          <w:p>
            <w:pPr>
              <w:pStyle w:val="Contedodatabela"/>
              <w:widowControl w:val="false"/>
              <w:jc w:val="both"/>
              <w:rPr>
                <w:rFonts w:ascii="Calibri" w:hAnsi="Calibri" w:cs="Calibri"/>
                <w:b/>
                <w:b/>
                <w:bCs/>
                <w:color w:val="FFFFFF"/>
                <w:sz w:val="20"/>
                <w:szCs w:val="20"/>
              </w:rPr>
            </w:pPr>
            <w:r>
              <w:rPr>
                <w:rFonts w:cs="Calibri" w:ascii="Calibri" w:hAnsi="Calibri"/>
                <w:b/>
                <w:bCs/>
                <w:color w:val="FFFFFF"/>
                <w:sz w:val="20"/>
                <w:szCs w:val="20"/>
              </w:rPr>
              <w:t>Valor global estimado:</w:t>
            </w:r>
          </w:p>
        </w:tc>
        <w:tc>
          <w:tcPr>
            <w:tcW w:w="2378" w:type="dxa"/>
            <w:gridSpan w:val="2"/>
            <w:tcBorders>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R$ 0.000,00</w:t>
            </w:r>
          </w:p>
        </w:tc>
      </w:tr>
    </w:tbl>
    <w:p>
      <w:pPr>
        <w:pStyle w:val="Normal"/>
        <w:snapToGrid w:val="false"/>
        <w:ind w:left="794" w:hanging="0"/>
        <w:jc w:val="center"/>
        <w:rPr/>
      </w:pPr>
      <w:commentRangeEnd w:id="19"/>
      <w:r>
        <w:commentReference w:id="19"/>
      </w:r>
      <w:r>
        <w:rPr/>
      </w:r>
    </w:p>
    <w:p>
      <w:pPr>
        <w:pStyle w:val="Default"/>
        <w:snapToGrid w:val="false"/>
        <w:ind w:left="794" w:hanging="0"/>
        <w:jc w:val="center"/>
        <w:rPr>
          <w:rFonts w:ascii="Calibri" w:hAnsi="Calibri"/>
        </w:rPr>
      </w:pPr>
      <w:r>
        <w:rPr>
          <w:rFonts w:ascii="Calibri" w:hAnsi="Calibri"/>
        </w:rPr>
      </w:r>
    </w:p>
    <w:p>
      <w:pPr>
        <w:pStyle w:val="Default"/>
        <w:snapToGrid w:val="false"/>
        <w:ind w:left="794" w:hanging="0"/>
        <w:jc w:val="center"/>
        <w:rPr>
          <w:rFonts w:ascii="Calibri" w:hAnsi="Calibri"/>
        </w:rPr>
      </w:pPr>
      <w:r>
        <w:rPr>
          <w:rFonts w:ascii="Calibri" w:hAnsi="Calibri"/>
        </w:rPr>
      </w:r>
    </w:p>
    <w:p>
      <w:pPr>
        <w:pStyle w:val="Default"/>
        <w:snapToGrid w:val="false"/>
        <w:ind w:left="794" w:hanging="0"/>
        <w:jc w:val="center"/>
        <w:rPr>
          <w:rFonts w:ascii="Calibri" w:hAnsi="Calibri"/>
        </w:rPr>
      </w:pPr>
      <w:r>
        <w:rPr>
          <w:rFonts w:ascii="Calibri" w:hAnsi="Calibri"/>
        </w:rPr>
      </w:r>
    </w:p>
    <w:p>
      <w:pPr>
        <w:pStyle w:val="Default"/>
        <w:snapToGrid w:val="false"/>
        <w:ind w:left="794" w:hanging="0"/>
        <w:jc w:val="center"/>
        <w:rPr>
          <w:rFonts w:ascii="Calibri" w:hAnsi="Calibri"/>
        </w:rPr>
      </w:pPr>
      <w:r>
        <w:rPr/>
      </w:r>
    </w:p>
    <w:sectPr>
      <w:headerReference w:type="default" r:id="rId7"/>
      <w:footerReference w:type="default" r:id="rId8"/>
      <w:type w:val="nextPage"/>
      <w:pgSz w:w="11906" w:h="16838"/>
      <w:pgMar w:left="1077" w:right="1077" w:gutter="0" w:header="709" w:top="1900" w:footer="283" w:bottom="1587"/>
      <w:pgNumType w:fmt="decimal"/>
      <w:formProt w:val="false"/>
      <w:textDirection w:val="lrTb"/>
      <w:docGrid w:type="default" w:linePitch="312"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Autor desconhecido" w:date="2022-07-29T15:04:00Z" w:initials="">
    <w:p>
      <w:r>
        <w:rPr>
          <w:rFonts w:ascii="Calibri" w:hAnsi="Calibri" w:eastAsia="Segoe UI" w:cs="Tahoma"/>
          <w:w w:val="85"/>
          <w:kern w:val="0"/>
          <w:sz w:val="20"/>
          <w:lang w:val="en-US" w:eastAsia="en-US" w:bidi="en-US"/>
        </w:rPr>
        <w:t>Inserir o número do processo e da dispensa</w:t>
      </w:r>
    </w:p>
  </w:comment>
  <w:comment w:id="1" w:author="Autor desconhecido" w:date="2022-07-29T15:05:00Z" w:initials="">
    <w:p>
      <w:r>
        <w:rPr>
          <w:rFonts w:ascii="Calibri" w:hAnsi="Calibri" w:eastAsia="Segoe UI" w:cs="Tahoma"/>
          <w:w w:val="85"/>
          <w:kern w:val="0"/>
          <w:sz w:val="20"/>
          <w:lang w:val="en-US" w:eastAsia="en-US" w:bidi="en-US"/>
        </w:rPr>
        <w:t>Informar o objeto que se pretende adquirir, nota-se que não se trata dos itens que compõe o processo, mas sim do objeto deste.</w:t>
      </w:r>
    </w:p>
  </w:comment>
  <w:comment w:id="2" w:author="Autor desconhecido" w:date="2022-07-29T15:09:00Z" w:initials="">
    <w:p>
      <w:r>
        <w:rPr>
          <w:rFonts w:ascii="Calibri" w:hAnsi="Calibri" w:eastAsia="Segoe UI" w:cs="Tahoma"/>
          <w:w w:val="85"/>
          <w:kern w:val="0"/>
          <w:sz w:val="20"/>
          <w:lang w:val="en-US" w:eastAsia="en-US" w:bidi="en-US"/>
        </w:rPr>
        <w:t>Descrever detalhadamente o item que se pretende adquirir, quantidade e forma de apresentação</w:t>
      </w:r>
    </w:p>
  </w:comment>
  <w:comment w:id="3" w:author="Autor desconhecido" w:date="2022-07-29T15:09:00Z" w:initials="">
    <w:p>
      <w:r>
        <w:rPr>
          <w:rFonts w:ascii="Calibri" w:hAnsi="Calibri" w:eastAsia="Segoe UI" w:cs="Tahoma"/>
          <w:w w:val="85"/>
          <w:kern w:val="0"/>
          <w:sz w:val="20"/>
          <w:lang w:val="en-US" w:eastAsia="en-US" w:bidi="en-US"/>
        </w:rPr>
        <w:t>Atualmente o sistema não faz o agrupamento de itens, uma forma adotada para Dispensas Eletrônicas por grupo de itens é a utilização de planilha de custos e formação de preços</w:t>
      </w:r>
    </w:p>
  </w:comment>
  <w:comment w:id="4" w:author="Autor desconhecido" w:date="2023-01-11T13:18:00Z" w:initials="">
    <w:p>
      <w:r>
        <w:rPr>
          <w:rFonts w:ascii="Calibri" w:hAnsi="Calibri" w:eastAsia="Segoe UI" w:cs="Tahoma"/>
          <w:w w:val="85"/>
          <w:kern w:val="0"/>
          <w:sz w:val="20"/>
          <w:lang w:val="en-US" w:eastAsia="en-US" w:bidi="en-US"/>
        </w:rPr>
        <w:t>Utilizar em caso de substituição de Termo de Contrato por instrumento equivalente “Nota de Empenho</w:t>
      </w:r>
    </w:p>
  </w:comment>
  <w:comment w:id="5" w:author="Autor desconhecido" w:date="2023-01-11T13:19:00Z" w:initials="">
    <w:p>
      <w:r>
        <w:rPr>
          <w:rFonts w:ascii="Calibri" w:hAnsi="Calibri" w:eastAsia="Segoe UI" w:cs="Tahoma"/>
          <w:w w:val="85"/>
          <w:kern w:val="0"/>
          <w:sz w:val="20"/>
          <w:lang w:val="en-US" w:eastAsia="en-US" w:bidi="en-US"/>
        </w:rPr>
        <w:t>Utilizar em caso de contrato sem prorrogação</w:t>
      </w:r>
    </w:p>
  </w:comment>
  <w:comment w:id="6" w:author="Autor desconhecido" w:date="2023-05-31T13:03:42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Ajustar conforme serviço</w:t>
      </w:r>
    </w:p>
  </w:comment>
  <w:comment w:id="7" w:author="Autor desconhecido" w:date="2023-01-11T13:20:00Z" w:initials="">
    <w:p>
      <w:r>
        <w:rPr>
          <w:rFonts w:ascii="Calibri" w:hAnsi="Calibri" w:eastAsia="Segoe UI" w:cs="Tahoma"/>
          <w:w w:val="85"/>
          <w:kern w:val="0"/>
          <w:sz w:val="20"/>
          <w:lang w:val="en-US" w:eastAsia="en-US" w:bidi="en-US"/>
        </w:rPr>
        <w:t>Utilizado para contratação emergencial</w:t>
      </w:r>
    </w:p>
  </w:comment>
  <w:comment w:id="8" w:author="Autor desconhecido" w:date="2022-07-29T15:11:00Z" w:initials="">
    <w:p>
      <w:r>
        <w:rPr>
          <w:rFonts w:ascii="Calibri" w:hAnsi="Calibri" w:eastAsia="Segoe UI" w:cs="Tahoma"/>
          <w:w w:val="85"/>
          <w:kern w:val="0"/>
          <w:sz w:val="20"/>
          <w:lang w:val="en-US" w:eastAsia="en-US" w:bidi="en-US"/>
        </w:rPr>
        <w:t>Utilizar em caso de dispensa eletrônica por grupo</w:t>
      </w:r>
    </w:p>
  </w:comment>
  <w:comment w:id="9" w:author="Autor desconhecido" w:date="2023-01-11T13:21:00Z" w:initials="">
    <w:p>
      <w:r>
        <w:rPr>
          <w:rFonts w:ascii="Calibri" w:hAnsi="Calibri" w:eastAsia="Segoe UI" w:cs="Tahoma"/>
          <w:w w:val="85"/>
          <w:kern w:val="0"/>
          <w:sz w:val="20"/>
          <w:lang w:val="en-US" w:eastAsia="en-US" w:bidi="en-US"/>
        </w:rPr>
        <w:t>Acrescentar demais requisitos conforme necessidade</w:t>
      </w:r>
    </w:p>
  </w:comment>
  <w:comment w:id="10" w:author="Autor desconhecido" w:date="2023-01-11T13:31:00Z" w:initials="">
    <w:p>
      <w:r>
        <w:rPr>
          <w:rFonts w:ascii="Calibri" w:hAnsi="Calibri" w:eastAsia="Segoe UI" w:cs="Tahoma"/>
          <w:w w:val="85"/>
          <w:kern w:val="0"/>
          <w:sz w:val="20"/>
          <w:lang w:val="en-US" w:eastAsia="en-US" w:bidi="en-US"/>
        </w:rPr>
        <w:t>Utilizado para não possibilitar a subcontratação</w:t>
      </w:r>
    </w:p>
  </w:comment>
  <w:comment w:id="11" w:author="Autor desconhecido" w:date="2023-01-11T13:34:00Z" w:initials="">
    <w:p>
      <w:r>
        <w:rPr>
          <w:rFonts w:ascii="Calibri" w:hAnsi="Calibri" w:eastAsia="Segoe UI" w:cs="Tahoma"/>
          <w:w w:val="85"/>
          <w:kern w:val="0"/>
          <w:sz w:val="20"/>
          <w:lang w:val="en-US" w:eastAsia="en-US" w:bidi="en-US"/>
        </w:rPr>
        <w:t>Utilizar caso possibilite a subcontratação com suas respectivas particularidades</w:t>
      </w:r>
    </w:p>
  </w:comment>
  <w:comment w:id="12" w:author="Autor desconhecido" w:date="2023-01-11T13:35:00Z" w:initials="">
    <w:p>
      <w:r>
        <w:rPr>
          <w:rFonts w:ascii="Calibri" w:hAnsi="Calibri" w:eastAsia="Segoe UI" w:cs="Tahoma"/>
          <w:w w:val="85"/>
          <w:kern w:val="0"/>
          <w:sz w:val="20"/>
          <w:lang w:val="en-US" w:eastAsia="en-US" w:bidi="en-US"/>
        </w:rPr>
        <w:t>Utilizar para não exigência de garantia</w:t>
      </w:r>
    </w:p>
  </w:comment>
  <w:comment w:id="13" w:author="Autor desconhecido" w:date="2023-01-11T13:36:00Z" w:initials="">
    <w:p>
      <w:r>
        <w:rPr>
          <w:rFonts w:ascii="Calibri" w:hAnsi="Calibri" w:eastAsia="Segoe UI" w:cs="Tahoma"/>
          <w:w w:val="85"/>
          <w:kern w:val="0"/>
          <w:sz w:val="20"/>
          <w:lang w:val="en-US" w:eastAsia="en-US" w:bidi="en-US"/>
        </w:rPr>
        <w:t>Utilizar caso seja necessária a apresentação de garantia contratual</w:t>
      </w:r>
    </w:p>
  </w:comment>
  <w:comment w:id="14" w:author="Autor desconhecido" w:date="2023-05-31T13:40:59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Item utilizado em caso de necessidade de vistoria</w:t>
      </w:r>
    </w:p>
  </w:comment>
  <w:comment w:id="15" w:author="Autor desconhecido" w:date="2023-05-31T13:40:40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ajustar</w:t>
      </w:r>
    </w:p>
  </w:comment>
  <w:comment w:id="16" w:author="Autor desconhecido" w:date="2023-05-31T13:40:19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Ajustar</w:t>
      </w:r>
    </w:p>
  </w:comment>
  <w:comment w:id="17" w:author="Autor desconhecido" w:date="2023-02-27T13:10:51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ajustar</w:t>
      </w:r>
    </w:p>
  </w:comment>
  <w:comment w:id="18" w:author="Autor desconhecido" w:date="2022-07-29T14:59:00Z" w:initials="">
    <w:p>
      <w:r>
        <w:rPr>
          <w:rFonts w:ascii="Calibri" w:hAnsi="Calibri" w:eastAsia="Segoe UI" w:cs="Tahoma"/>
          <w:w w:val="85"/>
          <w:kern w:val="0"/>
          <w:sz w:val="20"/>
          <w:lang w:val="en-US" w:eastAsia="en-US" w:bidi="en-US"/>
        </w:rPr>
        <w:t>Inserir a data</w:t>
      </w:r>
    </w:p>
  </w:comment>
  <w:comment w:id="19" w:author="Autor desconhecido" w:date="2022-07-29T16:09:00Z" w:initials="">
    <w:p>
      <w:r>
        <w:rPr>
          <w:rFonts w:ascii="Calibri" w:hAnsi="Calibri" w:eastAsia="Segoe UI" w:cs="Tahoma"/>
          <w:w w:val="85"/>
          <w:kern w:val="0"/>
          <w:sz w:val="20"/>
          <w:lang w:val="en-US" w:eastAsia="en-US" w:bidi="en-US"/>
        </w:rPr>
        <w:t>Utilizar caso opte pela dispensa eletrônica por grupo de itens</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Mono">
    <w:altName w:val="Courier New"/>
    <w:charset w:val="00"/>
    <w:family w:val="roman"/>
    <w:pitch w:val="variable"/>
  </w:font>
  <w:font w:name="OpenSymbol">
    <w:altName w:val="Arial Unicode MS"/>
    <w:charset w:val="00"/>
    <w:family w:val="roman"/>
    <w:pitch w:val="variable"/>
  </w:font>
  <w:font w:name="Tahoma">
    <w:charset w:val="00"/>
    <w:family w:val="roman"/>
    <w:pitch w:val="variable"/>
  </w:font>
  <w:font w:name="Liberation Sans">
    <w:altName w:val="Arial"/>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tabs>
        <w:tab w:val="clear" w:pos="4819"/>
        <w:tab w:val="clear" w:pos="9638"/>
        <w:tab w:val="center" w:pos="4419" w:leader="none"/>
        <w:tab w:val="left" w:pos="5812" w:leader="none"/>
        <w:tab w:val="right" w:pos="8838" w:leader="none"/>
      </w:tabs>
      <w:jc w:val="both"/>
      <w:rPr/>
    </w:pPr>
    <w:r>
      <w:rPr>
        <w:rStyle w:val="LinkdaInternet"/>
        <w:rFonts w:cs="Calibri" w:ascii="Calibri" w:hAnsi="Calibri"/>
        <w:color w:val="auto"/>
        <w:sz w:val="16"/>
        <w:szCs w:val="16"/>
        <w:u w:val="none"/>
      </w:rPr>
      <w:t>Classificação da informação contida no documento ( X ) Público  (    ) Sigiloso  (    ) Restrito  |  Qual restrição?</w:t>
    </w:r>
  </w:p>
  <w:p>
    <w:pPr>
      <w:pStyle w:val="Rodap"/>
      <w:tabs>
        <w:tab w:val="clear" w:pos="4819"/>
        <w:tab w:val="clear" w:pos="9638"/>
        <w:tab w:val="center" w:pos="4419" w:leader="none"/>
        <w:tab w:val="left" w:pos="5812" w:leader="none"/>
        <w:tab w:val="right" w:pos="8838" w:leader="none"/>
      </w:tabs>
      <w:jc w:val="both"/>
      <w:rPr>
        <w:rStyle w:val="LinkdaInternet"/>
        <w:rFonts w:ascii="Calibri" w:hAnsi="Calibri" w:cs="Calibri"/>
        <w:color w:val="auto"/>
        <w:sz w:val="16"/>
        <w:szCs w:val="16"/>
        <w:u w:val="none"/>
      </w:rPr>
    </w:pPr>
    <w:r>
      <w:rPr>
        <w:rFonts w:cs="Calibri" w:ascii="Calibri" w:hAnsi="Calibri"/>
        <w:color w:val="auto"/>
        <w:sz w:val="16"/>
        <w:szCs w:val="16"/>
        <w:u w:val="none"/>
      </w:rPr>
      <w:drawing>
        <wp:anchor behindDoc="1" distT="0" distB="0" distL="0" distR="0" simplePos="0" locked="0" layoutInCell="0" allowOverlap="1" relativeHeight="35">
          <wp:simplePos x="0" y="0"/>
          <wp:positionH relativeFrom="page">
            <wp:align>center</wp:align>
          </wp:positionH>
          <wp:positionV relativeFrom="paragraph">
            <wp:posOffset>21590</wp:posOffset>
          </wp:positionV>
          <wp:extent cx="6480175" cy="504190"/>
          <wp:effectExtent l="0" t="0" r="0" b="0"/>
          <wp:wrapSquare wrapText="largest"/>
          <wp:docPr id="2"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1" descr=""/>
                  <pic:cNvPicPr>
                    <a:picLocks noChangeAspect="1" noChangeArrowheads="1"/>
                  </pic:cNvPicPr>
                </pic:nvPicPr>
                <pic:blipFill>
                  <a:blip r:embed="rId1"/>
                  <a:srcRect l="-20" t="-254" r="-20" b="-254"/>
                  <a:stretch>
                    <a:fillRect/>
                  </a:stretch>
                </pic:blipFill>
                <pic:spPr bwMode="auto">
                  <a:xfrm>
                    <a:off x="0" y="0"/>
                    <a:ext cx="6480175" cy="504190"/>
                  </a:xfrm>
                  <a:prstGeom prst="rect">
                    <a:avLst/>
                  </a:prstGeom>
                </pic:spPr>
              </pic:pic>
            </a:graphicData>
          </a:graphic>
        </wp:anchor>
      </w:drawing>
    </w:r>
  </w:p>
  <w:p>
    <w:pPr>
      <w:pStyle w:val="Rodap"/>
      <w:tabs>
        <w:tab w:val="clear" w:pos="4819"/>
        <w:tab w:val="clear" w:pos="9638"/>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sz w:val="16"/>
        <w:szCs w:val="16"/>
      </w:rPr>
    </w:pPr>
    <w:r>
      <w:rPr>
        <w:sz w:val="16"/>
        <w:szCs w:val="16"/>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tabs>
        <w:tab w:val="clear" w:pos="4819"/>
        <w:tab w:val="clear" w:pos="9638"/>
        <w:tab w:val="center" w:pos="4419" w:leader="none"/>
        <w:tab w:val="left" w:pos="5812" w:leader="none"/>
        <w:tab w:val="right" w:pos="8838" w:leader="none"/>
      </w:tabs>
      <w:jc w:val="both"/>
      <w:rPr/>
    </w:pPr>
    <w:r>
      <w:rPr>
        <w:rStyle w:val="LinkdaInternet"/>
        <w:rFonts w:cs="Calibri" w:ascii="Calibri" w:hAnsi="Calibri"/>
        <w:color w:val="auto"/>
        <w:sz w:val="16"/>
        <w:szCs w:val="16"/>
        <w:u w:val="none"/>
      </w:rPr>
      <w:t>Classificação da informação contida no documento ( X ) Público  (    ) Sigiloso  (    ) Restrito  |  Qual restrição?</w:t>
    </w:r>
  </w:p>
  <w:p>
    <w:pPr>
      <w:pStyle w:val="Rodap"/>
      <w:tabs>
        <w:tab w:val="clear" w:pos="4819"/>
        <w:tab w:val="clear" w:pos="9638"/>
        <w:tab w:val="center" w:pos="4419" w:leader="none"/>
        <w:tab w:val="left" w:pos="5812" w:leader="none"/>
        <w:tab w:val="right" w:pos="8838" w:leader="none"/>
      </w:tabs>
      <w:jc w:val="both"/>
      <w:rPr>
        <w:rStyle w:val="LinkdaInternet"/>
        <w:rFonts w:ascii="Calibri" w:hAnsi="Calibri" w:cs="Calibri"/>
        <w:color w:val="auto"/>
        <w:sz w:val="16"/>
        <w:szCs w:val="16"/>
        <w:u w:val="none"/>
      </w:rPr>
    </w:pPr>
    <w:r>
      <w:rPr>
        <w:rFonts w:cs="Calibri" w:ascii="Calibri" w:hAnsi="Calibri"/>
        <w:color w:val="auto"/>
        <w:sz w:val="16"/>
        <w:szCs w:val="16"/>
        <w:u w:val="none"/>
      </w:rPr>
      <w:drawing>
        <wp:anchor behindDoc="1" distT="0" distB="0" distL="0" distR="0" simplePos="0" locked="0" layoutInCell="0" allowOverlap="1" relativeHeight="4">
          <wp:simplePos x="0" y="0"/>
          <wp:positionH relativeFrom="page">
            <wp:align>center</wp:align>
          </wp:positionH>
          <wp:positionV relativeFrom="paragraph">
            <wp:posOffset>21590</wp:posOffset>
          </wp:positionV>
          <wp:extent cx="6480175" cy="504190"/>
          <wp:effectExtent l="0" t="0" r="0" b="0"/>
          <wp:wrapSquare wrapText="largest"/>
          <wp:docPr id="4" name="Figura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4" descr=""/>
                  <pic:cNvPicPr>
                    <a:picLocks noChangeAspect="1" noChangeArrowheads="1"/>
                  </pic:cNvPicPr>
                </pic:nvPicPr>
                <pic:blipFill>
                  <a:blip r:embed="rId1"/>
                  <a:srcRect l="-20" t="-254" r="-20" b="-254"/>
                  <a:stretch>
                    <a:fillRect/>
                  </a:stretch>
                </pic:blipFill>
                <pic:spPr bwMode="auto">
                  <a:xfrm>
                    <a:off x="0" y="0"/>
                    <a:ext cx="6480175" cy="504190"/>
                  </a:xfrm>
                  <a:prstGeom prst="rect">
                    <a:avLst/>
                  </a:prstGeom>
                </pic:spPr>
              </pic:pic>
            </a:graphicData>
          </a:graphic>
        </wp:anchor>
      </w:drawing>
    </w:r>
  </w:p>
  <w:p>
    <w:pPr>
      <w:pStyle w:val="Rodap"/>
      <w:tabs>
        <w:tab w:val="clear" w:pos="4819"/>
        <w:tab w:val="clear" w:pos="9638"/>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sz w:val="16"/>
        <w:szCs w:val="16"/>
      </w:rPr>
    </w:pPr>
    <w:r>
      <w:rPr>
        <w:sz w:val="16"/>
        <w:szCs w:val="16"/>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tabs>
        <w:tab w:val="clear" w:pos="4819"/>
        <w:tab w:val="clear" w:pos="9638"/>
        <w:tab w:val="center" w:pos="4419" w:leader="none"/>
        <w:tab w:val="left" w:pos="5812" w:leader="none"/>
        <w:tab w:val="right" w:pos="8838" w:leader="none"/>
      </w:tabs>
      <w:jc w:val="both"/>
      <w:rPr/>
    </w:pPr>
    <w:r>
      <w:rPr>
        <w:rStyle w:val="LinkdaInternet"/>
        <w:rFonts w:cs="Calibri" w:ascii="Calibri" w:hAnsi="Calibri"/>
        <w:color w:val="auto"/>
        <w:sz w:val="16"/>
        <w:szCs w:val="16"/>
        <w:u w:val="none"/>
      </w:rPr>
      <w:t>Classificação da informação contida no documento ( X ) Público  (    ) Sigiloso  (    ) Restrito  |  Qual restrição?</w:t>
    </w:r>
  </w:p>
  <w:p>
    <w:pPr>
      <w:pStyle w:val="Rodap"/>
      <w:tabs>
        <w:tab w:val="clear" w:pos="4819"/>
        <w:tab w:val="clear" w:pos="9638"/>
        <w:tab w:val="center" w:pos="4419" w:leader="none"/>
        <w:tab w:val="left" w:pos="5812" w:leader="none"/>
        <w:tab w:val="right" w:pos="8838" w:leader="none"/>
      </w:tabs>
      <w:jc w:val="both"/>
      <w:rPr>
        <w:rStyle w:val="LinkdaInternet"/>
        <w:rFonts w:ascii="Calibri" w:hAnsi="Calibri" w:cs="Calibri"/>
        <w:color w:val="auto"/>
        <w:sz w:val="16"/>
        <w:szCs w:val="16"/>
        <w:u w:val="none"/>
      </w:rPr>
    </w:pPr>
    <w:r>
      <w:rPr>
        <w:rFonts w:cs="Calibri" w:ascii="Calibri" w:hAnsi="Calibri"/>
        <w:color w:val="auto"/>
        <w:sz w:val="16"/>
        <w:szCs w:val="16"/>
        <w:u w:val="none"/>
      </w:rPr>
      <w:drawing>
        <wp:anchor behindDoc="1" distT="0" distB="0" distL="0" distR="0" simplePos="0" locked="0" layoutInCell="0" allowOverlap="1" relativeHeight="2">
          <wp:simplePos x="0" y="0"/>
          <wp:positionH relativeFrom="page">
            <wp:align>center</wp:align>
          </wp:positionH>
          <wp:positionV relativeFrom="paragraph">
            <wp:posOffset>21590</wp:posOffset>
          </wp:positionV>
          <wp:extent cx="6480175" cy="504190"/>
          <wp:effectExtent l="0" t="0" r="0" b="0"/>
          <wp:wrapSquare wrapText="largest"/>
          <wp:docPr id="6" name="Figura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6" descr=""/>
                  <pic:cNvPicPr>
                    <a:picLocks noChangeAspect="1" noChangeArrowheads="1"/>
                  </pic:cNvPicPr>
                </pic:nvPicPr>
                <pic:blipFill>
                  <a:blip r:embed="rId1"/>
                  <a:srcRect l="-20" t="-254" r="-20" b="-254"/>
                  <a:stretch>
                    <a:fillRect/>
                  </a:stretch>
                </pic:blipFill>
                <pic:spPr bwMode="auto">
                  <a:xfrm>
                    <a:off x="0" y="0"/>
                    <a:ext cx="6480175" cy="504190"/>
                  </a:xfrm>
                  <a:prstGeom prst="rect">
                    <a:avLst/>
                  </a:prstGeom>
                </pic:spPr>
              </pic:pic>
            </a:graphicData>
          </a:graphic>
        </wp:anchor>
      </w:drawing>
    </w:r>
  </w:p>
  <w:p>
    <w:pPr>
      <w:pStyle w:val="Rodap"/>
      <w:tabs>
        <w:tab w:val="clear" w:pos="4819"/>
        <w:tab w:val="clear" w:pos="9638"/>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sz w:val="16"/>
        <w:szCs w:val="16"/>
      </w:rPr>
    </w:pPr>
    <w:r>
      <w:rPr>
        <w:sz w:val="16"/>
        <w:szCs w:val="16"/>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rPr/>
    </w:pPr>
    <w:r>
      <w:rPr/>
      <w:drawing>
        <wp:anchor behindDoc="1" distT="0" distB="0" distL="0" distR="0" simplePos="0" locked="0" layoutInCell="0" allowOverlap="1" relativeHeight="20">
          <wp:simplePos x="0" y="0"/>
          <wp:positionH relativeFrom="page">
            <wp:align>center</wp:align>
          </wp:positionH>
          <wp:positionV relativeFrom="paragraph">
            <wp:posOffset>-28575</wp:posOffset>
          </wp:positionV>
          <wp:extent cx="6480175" cy="810260"/>
          <wp:effectExtent l="0" t="0" r="0" b="0"/>
          <wp:wrapSquare wrapText="largest"/>
          <wp:docPr id="1"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2" descr=""/>
                  <pic:cNvPicPr>
                    <a:picLocks noChangeAspect="1" noChangeArrowheads="1"/>
                  </pic:cNvPicPr>
                </pic:nvPicPr>
                <pic:blipFill>
                  <a:blip r:embed="rId1"/>
                  <a:srcRect l="-20" t="-141" r="-20" b="-141"/>
                  <a:stretch>
                    <a:fillRect/>
                  </a:stretch>
                </pic:blipFill>
                <pic:spPr bwMode="auto">
                  <a:xfrm>
                    <a:off x="0" y="0"/>
                    <a:ext cx="6480175" cy="81026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rPr/>
    </w:pPr>
    <w:r>
      <w:rPr/>
      <w:drawing>
        <wp:anchor behindDoc="1" distT="0" distB="0" distL="0" distR="0" simplePos="0" locked="0" layoutInCell="0" allowOverlap="1" relativeHeight="5">
          <wp:simplePos x="0" y="0"/>
          <wp:positionH relativeFrom="page">
            <wp:align>center</wp:align>
          </wp:positionH>
          <wp:positionV relativeFrom="paragraph">
            <wp:posOffset>-28575</wp:posOffset>
          </wp:positionV>
          <wp:extent cx="6480175" cy="810260"/>
          <wp:effectExtent l="0" t="0" r="0" b="0"/>
          <wp:wrapSquare wrapText="largest"/>
          <wp:docPr id="3"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3" descr=""/>
                  <pic:cNvPicPr>
                    <a:picLocks noChangeAspect="1" noChangeArrowheads="1"/>
                  </pic:cNvPicPr>
                </pic:nvPicPr>
                <pic:blipFill>
                  <a:blip r:embed="rId1"/>
                  <a:srcRect l="-20" t="-141" r="-20" b="-141"/>
                  <a:stretch>
                    <a:fillRect/>
                  </a:stretch>
                </pic:blipFill>
                <pic:spPr bwMode="auto">
                  <a:xfrm>
                    <a:off x="0" y="0"/>
                    <a:ext cx="6480175" cy="81026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rPr/>
    </w:pPr>
    <w:r>
      <w:rPr/>
      <w:drawing>
        <wp:anchor behindDoc="1" distT="0" distB="0" distL="0" distR="0" simplePos="0" locked="0" layoutInCell="0" allowOverlap="1" relativeHeight="3">
          <wp:simplePos x="0" y="0"/>
          <wp:positionH relativeFrom="page">
            <wp:align>center</wp:align>
          </wp:positionH>
          <wp:positionV relativeFrom="paragraph">
            <wp:posOffset>-28575</wp:posOffset>
          </wp:positionV>
          <wp:extent cx="6480175" cy="810260"/>
          <wp:effectExtent l="0" t="0" r="0" b="0"/>
          <wp:wrapSquare wrapText="largest"/>
          <wp:docPr id="5" name="Figura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5" descr=""/>
                  <pic:cNvPicPr>
                    <a:picLocks noChangeAspect="1" noChangeArrowheads="1"/>
                  </pic:cNvPicPr>
                </pic:nvPicPr>
                <pic:blipFill>
                  <a:blip r:embed="rId1"/>
                  <a:srcRect l="-20" t="-141" r="-20" b="-141"/>
                  <a:stretch>
                    <a:fillRect/>
                  </a:stretch>
                </pic:blipFill>
                <pic:spPr bwMode="auto">
                  <a:xfrm>
                    <a:off x="0" y="0"/>
                    <a:ext cx="6480175" cy="81026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94"/>
        </w:tabs>
        <w:ind w:left="754" w:hanging="754"/>
      </w:pPr>
      <w:rPr>
        <w:sz w:val="24"/>
        <w:b/>
        <w:szCs w:val="24"/>
        <w:bCs/>
        <w:rFonts w:ascii="Calibri" w:hAnsi="Calibri" w:cs="Calibri"/>
        <w:color w:val="FFFFFF"/>
      </w:rPr>
    </w:lvl>
    <w:lvl w:ilvl="1">
      <w:start w:val="1"/>
      <w:numFmt w:val="decimal"/>
      <w:lvlText w:val="%1.%2."/>
      <w:lvlJc w:val="left"/>
      <w:pPr>
        <w:tabs>
          <w:tab w:val="num" w:pos="794"/>
        </w:tabs>
        <w:ind w:left="794" w:hanging="794"/>
      </w:pPr>
      <w:rPr>
        <w:dstrike w:val="false"/>
        <w:strike w:val="false"/>
        <w:sz w:val="24"/>
        <w:b w:val="false"/>
        <w:szCs w:val="24"/>
        <w:bCs w:val="false"/>
        <w:rFonts w:ascii="Calibri" w:hAnsi="Calibri" w:eastAsia="Calibri" w:cs="Calibri"/>
        <w:color w:val="00000A"/>
        <w:lang w:eastAsia="en-US"/>
      </w:rPr>
    </w:lvl>
    <w:lvl w:ilvl="2">
      <w:start w:val="1"/>
      <w:numFmt w:val="decimal"/>
      <w:lvlText w:val="%1.%2.%3."/>
      <w:lvlJc w:val="left"/>
      <w:pPr>
        <w:tabs>
          <w:tab w:val="num" w:pos="1786"/>
        </w:tabs>
        <w:ind w:left="1786" w:hanging="793"/>
      </w:pPr>
      <w:rPr>
        <w:sz w:val="24"/>
        <w:b w:val="false"/>
        <w:szCs w:val="24"/>
        <w:bCs w:val="false"/>
        <w:rFonts w:ascii="Calibri" w:hAnsi="Calibri" w:eastAsia="Calibri" w:cs="Calibri"/>
        <w:color w:val="000000"/>
        <w:lang w:eastAsia="en-US"/>
      </w:rPr>
    </w:lvl>
    <w:lvl w:ilvl="3">
      <w:start w:val="1"/>
      <w:numFmt w:val="decimal"/>
      <w:lvlText w:val="%1.%2.%3.%4."/>
      <w:lvlJc w:val="left"/>
      <w:pPr>
        <w:tabs>
          <w:tab w:val="num" w:pos="1587"/>
        </w:tabs>
        <w:ind w:left="2381" w:hanging="794"/>
      </w:pPr>
      <w:rPr>
        <w:sz w:val="24"/>
        <w:b w:val="false"/>
        <w:szCs w:val="24"/>
        <w:bCs w:val="false"/>
        <w:rFonts w:ascii="Calibri" w:hAnsi="Calibri" w:cs="Calibri"/>
        <w:color w:val="000000"/>
      </w:rPr>
    </w:lvl>
    <w:lvl w:ilvl="4">
      <w:start w:val="1"/>
      <w:numFmt w:val="decimal"/>
      <w:lvlText w:val="%1.%2.%3.%4.%5."/>
      <w:lvlJc w:val="left"/>
      <w:pPr>
        <w:tabs>
          <w:tab w:val="num" w:pos="1985"/>
        </w:tabs>
        <w:ind w:left="2342" w:hanging="755"/>
      </w:pPr>
      <w:rPr/>
    </w:lvl>
    <w:lvl w:ilvl="5">
      <w:start w:val="1"/>
      <w:numFmt w:val="decimal"/>
      <w:lvlText w:val="%6."/>
      <w:lvlJc w:val="left"/>
      <w:pPr>
        <w:tabs>
          <w:tab w:val="num" w:pos="2381"/>
        </w:tabs>
        <w:ind w:left="2738" w:hanging="397"/>
      </w:pPr>
      <w:rPr/>
    </w:lvl>
    <w:lvl w:ilvl="6">
      <w:start w:val="1"/>
      <w:numFmt w:val="decimal"/>
      <w:lvlText w:val="%7."/>
      <w:lvlJc w:val="left"/>
      <w:pPr>
        <w:tabs>
          <w:tab w:val="num" w:pos="2778"/>
        </w:tabs>
        <w:ind w:left="3135" w:hanging="397"/>
      </w:pPr>
      <w:rPr/>
    </w:lvl>
    <w:lvl w:ilvl="7">
      <w:start w:val="1"/>
      <w:numFmt w:val="decimal"/>
      <w:lvlText w:val="%8."/>
      <w:lvlJc w:val="left"/>
      <w:pPr>
        <w:tabs>
          <w:tab w:val="num" w:pos="3175"/>
        </w:tabs>
        <w:ind w:left="3532" w:hanging="397"/>
      </w:pPr>
      <w:rPr/>
    </w:lvl>
    <w:lvl w:ilvl="8">
      <w:start w:val="1"/>
      <w:numFmt w:val="decimal"/>
      <w:lvlText w:val="%9."/>
      <w:lvlJc w:val="left"/>
      <w:pPr>
        <w:tabs>
          <w:tab w:val="num" w:pos="3572"/>
        </w:tabs>
        <w:ind w:left="3929" w:hanging="397"/>
      </w:pPr>
      <w:rPr/>
    </w:lvl>
  </w:abstractNum>
  <w:abstractNum w:abstractNumId="2">
    <w:lvl w:ilvl="0">
      <w:start w:val="1"/>
      <w:numFmt w:val="upperRoman"/>
      <w:lvlText w:val="%1."/>
      <w:lvlJc w:val="left"/>
      <w:pPr>
        <w:tabs>
          <w:tab w:val="num" w:pos="720"/>
        </w:tabs>
        <w:ind w:left="720" w:hanging="360"/>
      </w:pPr>
      <w:rPr/>
    </w:lvl>
    <w:lvl w:ilvl="1">
      <w:start w:val="1"/>
      <w:numFmt w:val="lowerLetter"/>
      <w:lvlText w:val="%2)"/>
      <w:lvlJc w:val="left"/>
      <w:pPr>
        <w:tabs>
          <w:tab w:val="num" w:pos="1080"/>
        </w:tabs>
        <w:ind w:left="1080" w:hanging="360"/>
      </w:pPr>
      <w:rPr/>
    </w:lvl>
    <w:lvl w:ilvl="2">
      <w:start w:val="1"/>
      <w:numFmt w:val="lowerLetter"/>
      <w:lvlText w:val="%3)"/>
      <w:lvlJc w:val="left"/>
      <w:pPr>
        <w:tabs>
          <w:tab w:val="num" w:pos="1440"/>
        </w:tabs>
        <w:ind w:left="1440" w:hanging="360"/>
      </w:pPr>
      <w:rPr/>
    </w:lvl>
    <w:lvl w:ilvl="3">
      <w:start w:val="1"/>
      <w:numFmt w:val="lowerLetter"/>
      <w:lvlText w:val="%4)"/>
      <w:lvlJc w:val="left"/>
      <w:pPr>
        <w:tabs>
          <w:tab w:val="num" w:pos="1800"/>
        </w:tabs>
        <w:ind w:left="1800" w:hanging="360"/>
      </w:pPr>
      <w:rPr/>
    </w:lvl>
    <w:lvl w:ilvl="4">
      <w:start w:val="1"/>
      <w:numFmt w:val="lowerLetter"/>
      <w:lvlText w:val="%5)"/>
      <w:lvlJc w:val="left"/>
      <w:pPr>
        <w:tabs>
          <w:tab w:val="num" w:pos="2160"/>
        </w:tabs>
        <w:ind w:left="2160" w:hanging="360"/>
      </w:pPr>
      <w:rPr/>
    </w:lvl>
    <w:lvl w:ilvl="5">
      <w:start w:val="1"/>
      <w:numFmt w:val="lowerLetter"/>
      <w:lvlText w:val="%6)"/>
      <w:lvlJc w:val="left"/>
      <w:pPr>
        <w:tabs>
          <w:tab w:val="num" w:pos="2520"/>
        </w:tabs>
        <w:ind w:left="2520" w:hanging="360"/>
      </w:pPr>
      <w:rPr/>
    </w:lvl>
    <w:lvl w:ilvl="6">
      <w:start w:val="1"/>
      <w:numFmt w:val="lowerLetter"/>
      <w:lvlText w:val="%7)"/>
      <w:lvlJc w:val="left"/>
      <w:pPr>
        <w:tabs>
          <w:tab w:val="num" w:pos="2880"/>
        </w:tabs>
        <w:ind w:left="2880" w:hanging="360"/>
      </w:pPr>
      <w:rPr/>
    </w:lvl>
    <w:lvl w:ilvl="7">
      <w:start w:val="1"/>
      <w:numFmt w:val="lowerLetter"/>
      <w:lvlText w:val="%8)"/>
      <w:lvlJc w:val="left"/>
      <w:pPr>
        <w:tabs>
          <w:tab w:val="num" w:pos="3240"/>
        </w:tabs>
        <w:ind w:left="3240" w:hanging="360"/>
      </w:pPr>
      <w:rPr/>
    </w:lvl>
    <w:lvl w:ilvl="8">
      <w:start w:val="1"/>
      <w:numFmt w:val="lowerLetter"/>
      <w:lvlText w:val="%9)"/>
      <w:lvlJc w:val="left"/>
      <w:pPr>
        <w:tabs>
          <w:tab w:val="num" w:pos="3600"/>
        </w:tabs>
        <w:ind w:left="3600" w:hanging="36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20"/>
  <w:autoHyphenation w:val="true"/>
  <w:hyphenationZone w:val="425"/>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t-BR"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Liberation Serif;Times New Roma" w:hAnsi="Liberation Serif;Times New Roma" w:eastAsia="NSimSun" w:cs="Lucida Sans"/>
      <w:color w:val="auto"/>
      <w:kern w:val="2"/>
      <w:sz w:val="24"/>
      <w:szCs w:val="24"/>
      <w:lang w:val="pt-BR" w:eastAsia="zh-CN" w:bidi="hi-IN"/>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Calibri" w:hAnsi="Calibri" w:cs="Calibri"/>
      <w:b/>
      <w:bCs/>
      <w:color w:val="FFFFFF"/>
      <w:sz w:val="24"/>
      <w:szCs w:val="24"/>
    </w:rPr>
  </w:style>
  <w:style w:type="character" w:styleId="WW8Num2z1" w:customStyle="1">
    <w:name w:val="WW8Num2z1"/>
    <w:qFormat/>
    <w:rPr>
      <w:rFonts w:ascii="Calibri" w:hAnsi="Calibri" w:eastAsia="Calibri" w:cs="Calibri"/>
      <w:b w:val="false"/>
      <w:bCs w:val="false"/>
      <w:strike w:val="false"/>
      <w:dstrike w:val="false"/>
      <w:color w:val="00000A"/>
      <w:sz w:val="24"/>
      <w:szCs w:val="24"/>
      <w:lang w:eastAsia="en-US"/>
    </w:rPr>
  </w:style>
  <w:style w:type="character" w:styleId="WW8Num2z2" w:customStyle="1">
    <w:name w:val="WW8Num2z2"/>
    <w:qFormat/>
    <w:rPr>
      <w:rFonts w:ascii="Calibri" w:hAnsi="Calibri" w:eastAsia="Calibri" w:cs="Calibri"/>
      <w:b w:val="false"/>
      <w:bCs w:val="false"/>
      <w:color w:val="000000"/>
      <w:sz w:val="24"/>
      <w:szCs w:val="24"/>
      <w:lang w:eastAsia="en-US"/>
    </w:rPr>
  </w:style>
  <w:style w:type="character" w:styleId="WW8Num2z3" w:customStyle="1">
    <w:name w:val="WW8Num2z3"/>
    <w:qFormat/>
    <w:rPr>
      <w:rFonts w:ascii="Calibri" w:hAnsi="Calibri" w:cs="Calibri"/>
      <w:b w:val="false"/>
      <w:bCs w:val="false"/>
      <w:color w:val="000000"/>
      <w:sz w:val="24"/>
      <w:szCs w:val="24"/>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Fontepargpadro1" w:customStyle="1">
    <w:name w:val="Fonte parág. padrão1"/>
    <w:qFormat/>
    <w:rPr/>
  </w:style>
  <w:style w:type="character" w:styleId="LinkdaInternet" w:customStyle="1">
    <w:name w:val="Hyperlink"/>
    <w:basedOn w:val="DefaultParagraphFont"/>
    <w:uiPriority w:val="99"/>
    <w:semiHidden/>
    <w:unhideWhenUsed/>
    <w:rsid w:val="00c63071"/>
    <w:rPr>
      <w:color w:val="0000FF"/>
      <w:u w:val="single"/>
    </w:rPr>
  </w:style>
  <w:style w:type="character" w:styleId="Smbolosdenumerao" w:customStyle="1">
    <w:name w:val="Símbolos de numeração"/>
    <w:qFormat/>
    <w:rPr/>
  </w:style>
  <w:style w:type="character" w:styleId="Entradadousurio" w:customStyle="1">
    <w:name w:val="Entrada do usuário"/>
    <w:qFormat/>
    <w:rPr>
      <w:rFonts w:ascii="Liberation Mono;Courier New" w:hAnsi="Liberation Mono;Courier New" w:eastAsia="NSimSun" w:cs="Liberation Mono;Courier New"/>
      <w:color w:val="00000A"/>
    </w:rPr>
  </w:style>
  <w:style w:type="character" w:styleId="Linkdainternetvisitado" w:customStyle="1">
    <w:name w:val="FollowedHyperlink"/>
    <w:rPr>
      <w:color w:val="800000"/>
      <w:u w:val="single"/>
    </w:rPr>
  </w:style>
  <w:style w:type="character" w:styleId="Marcas" w:customStyle="1">
    <w:name w:val="Marcas"/>
    <w:qFormat/>
    <w:rPr>
      <w:rFonts w:ascii="OpenSymbol;Arial Unicode MS" w:hAnsi="OpenSymbol;Arial Unicode MS" w:eastAsia="OpenSymbol;Arial Unicode MS" w:cs="OpenSymbol;Arial Unicode MS"/>
    </w:rPr>
  </w:style>
  <w:style w:type="character" w:styleId="TextodecomentrioChar" w:customStyle="1">
    <w:name w:val="Texto de comentário Char"/>
    <w:basedOn w:val="DefaultParagraphFont"/>
    <w:link w:val="Annotationtext"/>
    <w:uiPriority w:val="99"/>
    <w:semiHidden/>
    <w:qFormat/>
    <w:rPr>
      <w:rFonts w:ascii="Liberation Serif;Times New Roma" w:hAnsi="Liberation Serif;Times New Roma" w:cs="Mangal"/>
      <w:kern w:val="2"/>
      <w:sz w:val="20"/>
      <w:szCs w:val="18"/>
    </w:rPr>
  </w:style>
  <w:style w:type="character" w:styleId="Annotationreference">
    <w:name w:val="annotation reference"/>
    <w:basedOn w:val="DefaultParagraphFont"/>
    <w:uiPriority w:val="99"/>
    <w:semiHidden/>
    <w:unhideWhenUsed/>
    <w:qFormat/>
    <w:rPr>
      <w:sz w:val="16"/>
      <w:szCs w:val="16"/>
    </w:rPr>
  </w:style>
  <w:style w:type="character" w:styleId="TextodebaloChar" w:customStyle="1">
    <w:name w:val="Texto de balão Char"/>
    <w:basedOn w:val="DefaultParagraphFont"/>
    <w:link w:val="BalloonText"/>
    <w:uiPriority w:val="99"/>
    <w:semiHidden/>
    <w:qFormat/>
    <w:rsid w:val="006d06b0"/>
    <w:rPr>
      <w:rFonts w:ascii="Tahoma" w:hAnsi="Tahoma" w:cs="Mangal"/>
      <w:kern w:val="2"/>
      <w:sz w:val="16"/>
      <w:szCs w:val="14"/>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style>
  <w:style w:type="paragraph" w:styleId="Legenda">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pPr>
    <w:rPr/>
  </w:style>
  <w:style w:type="paragraph" w:styleId="Ttulododocumento">
    <w:name w:val="Title"/>
    <w:basedOn w:val="Normal"/>
    <w:next w:val="Corpodotexto"/>
    <w:uiPriority w:val="10"/>
    <w:qFormat/>
    <w:pPr>
      <w:keepNext w:val="true"/>
      <w:spacing w:before="240" w:after="120"/>
    </w:pPr>
    <w:rPr>
      <w:rFonts w:ascii="Liberation Sans;Arial" w:hAnsi="Liberation Sans;Arial" w:eastAsia="Microsoft YaHei"/>
      <w:sz w:val="28"/>
      <w:szCs w:val="28"/>
    </w:rPr>
  </w:style>
  <w:style w:type="paragraph" w:styleId="Caption">
    <w:name w:val="caption"/>
    <w:basedOn w:val="Normal"/>
    <w:qFormat/>
    <w:pPr>
      <w:suppressLineNumbers/>
      <w:spacing w:before="120" w:after="120"/>
    </w:pPr>
    <w:rPr>
      <w:i/>
      <w:iCs/>
    </w:rPr>
  </w:style>
  <w:style w:type="paragraph" w:styleId="CabealhoeRodap" w:customStyle="1">
    <w:name w:val="Cabeçalho e Rodapé"/>
    <w:basedOn w:val="Normal"/>
    <w:qFormat/>
    <w:pPr>
      <w:suppressLineNumbers/>
      <w:tabs>
        <w:tab w:val="clear" w:pos="720"/>
        <w:tab w:val="center" w:pos="4819" w:leader="none"/>
        <w:tab w:val="right" w:pos="9638" w:leader="none"/>
      </w:tabs>
    </w:pPr>
    <w:rPr/>
  </w:style>
  <w:style w:type="paragraph" w:styleId="Cabealho">
    <w:name w:val="Header"/>
    <w:basedOn w:val="CabealhoeRodap"/>
    <w:pPr/>
    <w:rPr/>
  </w:style>
  <w:style w:type="paragraph" w:styleId="Rodap">
    <w:name w:val="Footer"/>
    <w:basedOn w:val="CabealhoeRodap"/>
    <w:pPr/>
    <w:rPr/>
  </w:style>
  <w:style w:type="paragraph" w:styleId="Contedodalista" w:customStyle="1">
    <w:name w:val="Conteúdo da lista"/>
    <w:basedOn w:val="Normal"/>
    <w:qFormat/>
    <w:pPr>
      <w:ind w:left="567" w:hanging="0"/>
    </w:pPr>
    <w:rPr/>
  </w:style>
  <w:style w:type="paragraph" w:styleId="Rodap1" w:customStyle="1">
    <w:name w:val="Rodapé1"/>
    <w:basedOn w:val="Normal"/>
    <w:qFormat/>
    <w:pPr>
      <w:tabs>
        <w:tab w:val="clear" w:pos="720"/>
        <w:tab w:val="center" w:pos="4419" w:leader="none"/>
        <w:tab w:val="right" w:pos="8838" w:leader="none"/>
      </w:tabs>
    </w:pPr>
    <w:rPr>
      <w:rFonts w:ascii="Times New Roman" w:hAnsi="Times New Roman" w:eastAsia="Times New Roman" w:cs="Times New Roman"/>
      <w:color w:val="00000A"/>
      <w:sz w:val="20"/>
      <w:szCs w:val="20"/>
      <w:lang w:bidi="ar-SA"/>
    </w:rPr>
  </w:style>
  <w:style w:type="paragraph" w:styleId="CREMERJ" w:customStyle="1">
    <w:name w:val="CREMERJ"/>
    <w:basedOn w:val="Cabealho"/>
    <w:qFormat/>
    <w:pPr>
      <w:tabs>
        <w:tab w:val="left" w:pos="794" w:leader="none"/>
        <w:tab w:val="center" w:pos="4819" w:leader="none"/>
        <w:tab w:val="right" w:pos="9638" w:leader="none"/>
      </w:tabs>
      <w:ind w:left="754" w:hanging="754"/>
      <w:jc w:val="both"/>
    </w:pPr>
    <w:rPr>
      <w:rFonts w:ascii="Times New Roman" w:hAnsi="Times New Roman" w:cs="Times New Roman"/>
    </w:rPr>
  </w:style>
  <w:style w:type="paragraph" w:styleId="Contedodatabela" w:customStyle="1">
    <w:name w:val="Conteúdo da tabela"/>
    <w:basedOn w:val="Standard"/>
    <w:qFormat/>
    <w:rsid w:val="00a16501"/>
    <w:pPr>
      <w:suppressLineNumbers/>
      <w:textAlignment w:val="baseline"/>
    </w:pPr>
    <w:rPr>
      <w:rFonts w:ascii="Liberation Serif" w:hAnsi="Liberation Serif" w:eastAsia="NSimSun" w:cs="Lucida Sans"/>
      <w:color w:val="auto"/>
    </w:rPr>
  </w:style>
  <w:style w:type="paragraph" w:styleId="Ttulodetabela" w:customStyle="1">
    <w:name w:val="Título de tabela"/>
    <w:basedOn w:val="Contedodatabela"/>
    <w:qFormat/>
    <w:pPr>
      <w:jc w:val="center"/>
    </w:pPr>
    <w:rPr>
      <w:b/>
      <w:bCs/>
    </w:rPr>
  </w:style>
  <w:style w:type="paragraph" w:styleId="Corpodetexto22" w:customStyle="1">
    <w:name w:val="Corpo de texto 22"/>
    <w:basedOn w:val="Normal"/>
    <w:qFormat/>
    <w:pPr>
      <w:tabs>
        <w:tab w:val="left" w:pos="720" w:leader="none"/>
        <w:tab w:val="left" w:pos="1440" w:leader="none"/>
        <w:tab w:val="left" w:pos="2160" w:leader="none"/>
        <w:tab w:val="left" w:pos="2880" w:leader="none"/>
      </w:tabs>
      <w:spacing w:lineRule="atLeast" w:line="240" w:before="280" w:after="280"/>
      <w:jc w:val="both"/>
    </w:pPr>
    <w:rPr>
      <w:rFonts w:ascii="Arial" w:hAnsi="Arial" w:cs="Times New Roman"/>
      <w:b/>
      <w:bCs/>
      <w:color w:val="000000"/>
    </w:rPr>
  </w:style>
  <w:style w:type="paragraph" w:styleId="Corpodetexto21" w:customStyle="1">
    <w:name w:val="Corpo de texto 21"/>
    <w:basedOn w:val="Normal"/>
    <w:qFormat/>
    <w:pPr>
      <w:tabs>
        <w:tab w:val="left" w:pos="720" w:leader="none"/>
        <w:tab w:val="left" w:pos="1440" w:leader="none"/>
        <w:tab w:val="left" w:pos="2160" w:leader="none"/>
        <w:tab w:val="left" w:pos="2880" w:leader="none"/>
      </w:tabs>
      <w:spacing w:lineRule="atLeast" w:line="240" w:before="280" w:after="280"/>
      <w:jc w:val="both"/>
    </w:pPr>
    <w:rPr>
      <w:rFonts w:ascii="Arial" w:hAnsi="Arial" w:cs="Times New Roman"/>
      <w:b/>
      <w:bCs/>
      <w:color w:val="000000"/>
    </w:rPr>
  </w:style>
  <w:style w:type="paragraph" w:styleId="PargrafodaLista1" w:customStyle="1">
    <w:name w:val="Parágrafo da Lista1"/>
    <w:basedOn w:val="Normal"/>
    <w:qFormat/>
    <w:pPr>
      <w:spacing w:before="0" w:after="0"/>
      <w:ind w:left="720" w:hanging="0"/>
      <w:contextualSpacing/>
    </w:pPr>
    <w:rPr/>
  </w:style>
  <w:style w:type="paragraph" w:styleId="Standard" w:customStyle="1">
    <w:name w:val="Standard"/>
    <w:qFormat/>
    <w:pPr>
      <w:widowControl/>
      <w:suppressAutoHyphens w:val="true"/>
      <w:bidi w:val="0"/>
      <w:spacing w:before="0" w:after="0"/>
      <w:jc w:val="left"/>
    </w:pPr>
    <w:rPr>
      <w:rFonts w:ascii="Liberation Serif;Times New Roma" w:hAnsi="Liberation Serif;Times New Roma" w:eastAsia="SimSun" w:cs="Mangal"/>
      <w:color w:val="00000A"/>
      <w:kern w:val="2"/>
      <w:sz w:val="24"/>
      <w:szCs w:val="24"/>
      <w:lang w:val="pt-BR" w:eastAsia="zh-CN" w:bidi="hi-IN"/>
    </w:rPr>
  </w:style>
  <w:style w:type="paragraph" w:styleId="Corpodotextorecuado">
    <w:name w:val="Body Text Indent"/>
    <w:basedOn w:val="Normal"/>
    <w:pPr>
      <w:spacing w:before="0" w:after="120"/>
      <w:ind w:left="283" w:hanging="0"/>
    </w:pPr>
    <w:rPr>
      <w:rFonts w:cs="Times New Roman"/>
    </w:rPr>
  </w:style>
  <w:style w:type="paragraph" w:styleId="Default" w:customStyle="1">
    <w:name w:val="Default"/>
    <w:qFormat/>
    <w:pPr>
      <w:widowControl w:val="false"/>
      <w:suppressAutoHyphens w:val="true"/>
      <w:bidi w:val="0"/>
      <w:spacing w:before="0" w:after="0"/>
      <w:jc w:val="left"/>
    </w:pPr>
    <w:rPr>
      <w:rFonts w:ascii="Arial" w:hAnsi="Arial" w:eastAsia="NSimSun" w:cs="Mangal"/>
      <w:color w:val="000000"/>
      <w:kern w:val="2"/>
      <w:sz w:val="24"/>
      <w:szCs w:val="24"/>
      <w:lang w:val="pt-BR" w:eastAsia="zh-CN" w:bidi="hi-IN"/>
    </w:rPr>
  </w:style>
  <w:style w:type="paragraph" w:styleId="CREMERJ1" w:customStyle="1">
    <w:name w:val="CREMERJ_1"/>
    <w:basedOn w:val="Normal"/>
    <w:qFormat/>
    <w:pPr>
      <w:jc w:val="both"/>
    </w:pPr>
    <w:rPr/>
  </w:style>
  <w:style w:type="paragraph" w:styleId="ListParagraph">
    <w:name w:val="List Paragraph"/>
    <w:basedOn w:val="Normal"/>
    <w:qFormat/>
    <w:pPr>
      <w:spacing w:before="0" w:after="0"/>
      <w:ind w:left="720" w:hanging="0"/>
      <w:contextualSpacing/>
    </w:pPr>
    <w:rPr/>
  </w:style>
  <w:style w:type="paragraph" w:styleId="NormalWeb">
    <w:name w:val="Normal (Web)"/>
    <w:basedOn w:val="Normal"/>
    <w:uiPriority w:val="99"/>
    <w:qFormat/>
    <w:pPr>
      <w:spacing w:before="100" w:after="100"/>
    </w:pPr>
    <w:rPr/>
  </w:style>
  <w:style w:type="paragraph" w:styleId="Tabelanormal1" w:customStyle="1">
    <w:name w:val="Tabela normal1"/>
    <w:qFormat/>
    <w:pPr>
      <w:widowControl/>
      <w:suppressAutoHyphens w:val="true"/>
      <w:bidi w:val="0"/>
      <w:spacing w:before="0" w:after="0"/>
      <w:jc w:val="left"/>
    </w:pPr>
    <w:rPr>
      <w:rFonts w:ascii="Liberation Serif" w:hAnsi="Liberation Serif" w:eastAsia="NSimSun" w:cs="Lucida Sans"/>
      <w:color w:val="auto"/>
      <w:kern w:val="0"/>
      <w:sz w:val="24"/>
      <w:szCs w:val="24"/>
      <w:lang w:val="pt-BR" w:eastAsia="zh-CN" w:bidi="hi-IN"/>
    </w:rPr>
  </w:style>
  <w:style w:type="paragraph" w:styleId="Nivel2" w:customStyle="1">
    <w:name w:val="Nivel 2"/>
    <w:basedOn w:val="Normal"/>
    <w:qFormat/>
    <w:pPr>
      <w:spacing w:lineRule="auto" w:line="276" w:before="120" w:after="120"/>
      <w:jc w:val="both"/>
    </w:pPr>
    <w:rPr>
      <w:rFonts w:ascii="Arial" w:hAnsi="Arial" w:cs="Arial"/>
      <w:color w:val="000000"/>
    </w:rPr>
  </w:style>
  <w:style w:type="paragraph" w:styleId="Annotationtext">
    <w:name w:val="annotation text"/>
    <w:basedOn w:val="Normal"/>
    <w:link w:val="TextodecomentrioChar"/>
    <w:uiPriority w:val="99"/>
    <w:semiHidden/>
    <w:unhideWhenUsed/>
    <w:qFormat/>
    <w:pPr/>
    <w:rPr>
      <w:rFonts w:cs="Mangal"/>
      <w:sz w:val="20"/>
      <w:szCs w:val="18"/>
    </w:rPr>
  </w:style>
  <w:style w:type="paragraph" w:styleId="BalloonText">
    <w:name w:val="Balloon Text"/>
    <w:basedOn w:val="Normal"/>
    <w:link w:val="TextodebaloChar"/>
    <w:uiPriority w:val="99"/>
    <w:semiHidden/>
    <w:unhideWhenUsed/>
    <w:qFormat/>
    <w:rsid w:val="006d06b0"/>
    <w:pPr/>
    <w:rPr>
      <w:rFonts w:ascii="Tahoma" w:hAnsi="Tahoma" w:cs="Mangal"/>
      <w:sz w:val="16"/>
      <w:szCs w:val="14"/>
    </w:rPr>
  </w:style>
  <w:style w:type="paragraph" w:styleId="NormalTable">
    <w:name w:val="Normal Table"/>
    <w:qFormat/>
    <w:pPr>
      <w:widowControl/>
      <w:suppressAutoHyphens w:val="true"/>
      <w:bidi w:val="0"/>
      <w:spacing w:before="0" w:after="0"/>
      <w:jc w:val="left"/>
      <w:textAlignment w:val="auto"/>
    </w:pPr>
    <w:rPr>
      <w:rFonts w:ascii="Calibri" w:hAnsi="Calibri" w:eastAsia="Times New Roman" w:cs="Times New Roman"/>
      <w:color w:val="auto"/>
      <w:kern w:val="0"/>
      <w:sz w:val="22"/>
      <w:szCs w:val="22"/>
      <w:lang w:val="pt-BR" w:eastAsia="pt-BR" w:bidi="ar-SA"/>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email@crm-rj.gov.br"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footer" Target="footer3.xml"/><Relationship Id="rId9" Type="http://schemas.openxmlformats.org/officeDocument/2006/relationships/comments" Target="comments.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footer2.xml.rels><?xml version="1.0" encoding="UTF-8"?>
<Relationships xmlns="http://schemas.openxmlformats.org/package/2006/relationships"><Relationship Id="rId1" Type="http://schemas.openxmlformats.org/officeDocument/2006/relationships/image" Target="media/image2.jpeg"/>
</Relationships>
</file>

<file path=word/_rels/footer3.xml.rels><?xml version="1.0" encoding="UTF-8"?>
<Relationships xmlns="http://schemas.openxmlformats.org/package/2006/relationships"><Relationship Id="rId1" Type="http://schemas.openxmlformats.org/officeDocument/2006/relationships/image" Target="media/image2.jpeg"/>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2108A-E81D-4F1E-A1FD-7C3B12C4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Application>LibreOffice/7.4.6.2$Windows_X86_64 LibreOffice_project/5b1f5509c2decdade7fda905e3e1429a67acd63d</Application>
  <AppVersion>15.0000</AppVersion>
  <Pages>17</Pages>
  <Words>5334</Words>
  <Characters>29997</Characters>
  <CharactersWithSpaces>34950</CharactersWithSpaces>
  <Paragraphs>272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2022-09-08T17:57:00Z</dcterms:created>
  <dc:creator>André Carvalho de Almeida</dc:creator>
  <dc:description/>
  <dc:language>pt-BR</dc:language>
  <cp:lastModifiedBy/>
  <cp:lastPrinted>2022-01-25T18:43:00Z</cp:lastPrinted>
  <dcterms:modified xsi:type="dcterms:W3CDTF">2023-06-14T12:54:08Z</dcterms:modified>
  <cp:revision>42</cp:revision>
  <dc:subject/>
  <dc:title>Projeto Básico - Dispensa Eletrônica</dc:title>
</cp:coreProperties>
</file>

<file path=docProps/custom.xml><?xml version="1.0" encoding="utf-8"?>
<Properties xmlns="http://schemas.openxmlformats.org/officeDocument/2006/custom-properties" xmlns:vt="http://schemas.openxmlformats.org/officeDocument/2006/docPropsVTypes"/>
</file>